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8BCDE" w14:textId="390F2A65" w:rsidR="00A06A7C" w:rsidRPr="00D40CF6" w:rsidRDefault="00A06A7C" w:rsidP="004512D0">
      <w:pPr>
        <w:pStyle w:val="Title"/>
        <w:spacing w:line="360" w:lineRule="auto"/>
        <w:rPr>
          <w:rFonts w:ascii="Arial" w:hAnsi="Arial" w:cs="Arial"/>
          <w:color w:val="1F497D"/>
          <w:sz w:val="24"/>
          <w:szCs w:val="24"/>
        </w:rPr>
      </w:pPr>
      <w:bookmarkStart w:id="0" w:name="_GoBack"/>
      <w:bookmarkEnd w:id="0"/>
      <w:r w:rsidRPr="00D40CF6">
        <w:rPr>
          <w:rFonts w:ascii="Arial" w:hAnsi="Arial" w:cs="Arial"/>
          <w:sz w:val="24"/>
          <w:szCs w:val="24"/>
        </w:rPr>
        <w:t>Regi</w:t>
      </w:r>
      <w:r w:rsidR="003115BE">
        <w:rPr>
          <w:rFonts w:ascii="Arial" w:hAnsi="Arial" w:cs="Arial"/>
          <w:sz w:val="24"/>
          <w:szCs w:val="24"/>
        </w:rPr>
        <w:t xml:space="preserve">on Ten Stakeholder Survey: </w:t>
      </w:r>
      <w:r w:rsidR="00B21889">
        <w:rPr>
          <w:rFonts w:ascii="Arial" w:hAnsi="Arial" w:cs="Arial"/>
          <w:sz w:val="24"/>
          <w:szCs w:val="24"/>
        </w:rPr>
        <w:t>FY</w:t>
      </w:r>
      <w:r w:rsidRPr="00D40CF6">
        <w:rPr>
          <w:rFonts w:ascii="Arial" w:hAnsi="Arial" w:cs="Arial"/>
          <w:sz w:val="24"/>
          <w:szCs w:val="24"/>
        </w:rPr>
        <w:t>201</w:t>
      </w:r>
      <w:r w:rsidR="00A43C15">
        <w:rPr>
          <w:rFonts w:ascii="Arial" w:hAnsi="Arial" w:cs="Arial"/>
          <w:sz w:val="24"/>
          <w:szCs w:val="24"/>
        </w:rPr>
        <w:t>6</w:t>
      </w:r>
    </w:p>
    <w:p w14:paraId="7902823D" w14:textId="77777777" w:rsidR="007C1E68" w:rsidRDefault="007C1E68" w:rsidP="004512D0">
      <w:pPr>
        <w:spacing w:after="0" w:line="360" w:lineRule="auto"/>
        <w:rPr>
          <w:rFonts w:ascii="Arial" w:hAnsi="Arial" w:cs="Arial"/>
          <w:b/>
          <w:sz w:val="24"/>
          <w:szCs w:val="24"/>
          <w:u w:val="single"/>
        </w:rPr>
      </w:pPr>
      <w:r w:rsidRPr="00D40CF6">
        <w:rPr>
          <w:rFonts w:ascii="Arial" w:hAnsi="Arial" w:cs="Arial"/>
          <w:b/>
          <w:sz w:val="24"/>
          <w:szCs w:val="24"/>
          <w:u w:val="single"/>
        </w:rPr>
        <w:t>Introduction</w:t>
      </w:r>
    </w:p>
    <w:p w14:paraId="12CC9170" w14:textId="07FA0187" w:rsidR="00012480" w:rsidRDefault="00012480" w:rsidP="00012480">
      <w:pPr>
        <w:spacing w:after="0" w:line="360" w:lineRule="auto"/>
        <w:ind w:firstLine="720"/>
        <w:rPr>
          <w:rFonts w:ascii="Arial" w:hAnsi="Arial" w:cs="Arial"/>
          <w:sz w:val="24"/>
          <w:szCs w:val="24"/>
        </w:rPr>
      </w:pPr>
      <w:r>
        <w:rPr>
          <w:rFonts w:ascii="Arial" w:hAnsi="Arial" w:cs="Arial"/>
          <w:sz w:val="24"/>
          <w:szCs w:val="24"/>
        </w:rPr>
        <w:t xml:space="preserve">The Region Ten Stakeholder Survey is conducted every year to assess the quality of care provided by The Region Ten Community Services Board. The </w:t>
      </w:r>
      <w:r w:rsidR="001D7F50">
        <w:rPr>
          <w:rFonts w:ascii="Arial" w:hAnsi="Arial" w:cs="Arial"/>
          <w:sz w:val="24"/>
          <w:szCs w:val="24"/>
        </w:rPr>
        <w:t>March 2016</w:t>
      </w:r>
      <w:r>
        <w:rPr>
          <w:rFonts w:ascii="Arial" w:hAnsi="Arial" w:cs="Arial"/>
          <w:sz w:val="24"/>
          <w:szCs w:val="24"/>
        </w:rPr>
        <w:t xml:space="preserve"> survey was Region Ten’s </w:t>
      </w:r>
      <w:r w:rsidR="002F5861">
        <w:rPr>
          <w:rFonts w:ascii="Arial" w:hAnsi="Arial" w:cs="Arial"/>
          <w:sz w:val="24"/>
          <w:szCs w:val="24"/>
        </w:rPr>
        <w:t>eleventh</w:t>
      </w:r>
      <w:r>
        <w:rPr>
          <w:rFonts w:ascii="Arial" w:hAnsi="Arial" w:cs="Arial"/>
          <w:sz w:val="24"/>
          <w:szCs w:val="24"/>
        </w:rPr>
        <w:t xml:space="preserve"> stakeholder survey. The survey questionnaire presents statements regarding the quality of interactions between Region Ten and its’ stakeholders.  The Region Ten Board utilizes community stakeholder input to target areas for improvement as well as to highlight strengths. </w:t>
      </w:r>
      <w:r w:rsidR="00C44D15">
        <w:rPr>
          <w:rFonts w:ascii="Arial" w:hAnsi="Arial" w:cs="Arial"/>
          <w:sz w:val="24"/>
          <w:szCs w:val="24"/>
        </w:rPr>
        <w:t>“</w:t>
      </w:r>
      <w:r>
        <w:rPr>
          <w:rFonts w:ascii="Arial" w:hAnsi="Arial" w:cs="Arial"/>
          <w:sz w:val="24"/>
          <w:szCs w:val="24"/>
        </w:rPr>
        <w:t>Stakeholders</w:t>
      </w:r>
      <w:r w:rsidR="00C44D15">
        <w:rPr>
          <w:rFonts w:ascii="Arial" w:hAnsi="Arial" w:cs="Arial"/>
          <w:sz w:val="24"/>
          <w:szCs w:val="24"/>
        </w:rPr>
        <w:t>”</w:t>
      </w:r>
      <w:r>
        <w:rPr>
          <w:rFonts w:ascii="Arial" w:hAnsi="Arial" w:cs="Arial"/>
          <w:sz w:val="24"/>
          <w:szCs w:val="24"/>
        </w:rPr>
        <w:t xml:space="preserve"> of Region Ten references community people and agencies in areas including: </w:t>
      </w:r>
      <w:r w:rsidR="00367B0F">
        <w:rPr>
          <w:rFonts w:ascii="Arial" w:hAnsi="Arial" w:cs="Arial"/>
          <w:sz w:val="24"/>
          <w:szCs w:val="24"/>
        </w:rPr>
        <w:t>s</w:t>
      </w:r>
      <w:r>
        <w:rPr>
          <w:rFonts w:ascii="Arial" w:hAnsi="Arial" w:cs="Arial"/>
          <w:sz w:val="24"/>
          <w:szCs w:val="24"/>
        </w:rPr>
        <w:t xml:space="preserve">chool systems, law enforcement, the medical community, and </w:t>
      </w:r>
      <w:r w:rsidR="00367B0F">
        <w:rPr>
          <w:rFonts w:ascii="Arial" w:hAnsi="Arial" w:cs="Arial"/>
          <w:sz w:val="24"/>
          <w:szCs w:val="24"/>
        </w:rPr>
        <w:t>local</w:t>
      </w:r>
      <w:r>
        <w:rPr>
          <w:rFonts w:ascii="Arial" w:hAnsi="Arial" w:cs="Arial"/>
          <w:sz w:val="24"/>
          <w:szCs w:val="24"/>
        </w:rPr>
        <w:t xml:space="preserve"> Department of Social Services</w:t>
      </w:r>
      <w:r w:rsidR="00367B0F">
        <w:rPr>
          <w:rFonts w:ascii="Arial" w:hAnsi="Arial" w:cs="Arial"/>
          <w:sz w:val="24"/>
          <w:szCs w:val="24"/>
        </w:rPr>
        <w:t xml:space="preserve"> agencies</w:t>
      </w:r>
      <w:r>
        <w:rPr>
          <w:rFonts w:ascii="Arial" w:hAnsi="Arial" w:cs="Arial"/>
          <w:sz w:val="24"/>
          <w:szCs w:val="24"/>
        </w:rPr>
        <w:t xml:space="preserve">. </w:t>
      </w:r>
    </w:p>
    <w:p w14:paraId="4CF42843" w14:textId="77777777" w:rsidR="00012480" w:rsidRDefault="00012480" w:rsidP="00012480">
      <w:pPr>
        <w:spacing w:after="0" w:line="360" w:lineRule="auto"/>
        <w:ind w:firstLine="720"/>
        <w:rPr>
          <w:rFonts w:ascii="Arial" w:hAnsi="Arial" w:cs="Arial"/>
          <w:sz w:val="24"/>
          <w:szCs w:val="24"/>
        </w:rPr>
      </w:pPr>
    </w:p>
    <w:p w14:paraId="4DB9837B" w14:textId="15DA407B" w:rsidR="0072500D" w:rsidRPr="00D56C31" w:rsidRDefault="001D7F50" w:rsidP="00D56C31">
      <w:pPr>
        <w:spacing w:after="0" w:line="360" w:lineRule="auto"/>
        <w:ind w:firstLine="720"/>
        <w:rPr>
          <w:rFonts w:ascii="Arial" w:hAnsi="Arial" w:cs="Arial"/>
          <w:color w:val="FF0000"/>
          <w:sz w:val="24"/>
          <w:szCs w:val="24"/>
        </w:rPr>
      </w:pPr>
      <w:r>
        <w:rPr>
          <w:rFonts w:ascii="Arial" w:hAnsi="Arial" w:cs="Arial"/>
          <w:sz w:val="24"/>
          <w:szCs w:val="24"/>
        </w:rPr>
        <w:t xml:space="preserve">In </w:t>
      </w:r>
      <w:r w:rsidR="00B21889">
        <w:rPr>
          <w:rFonts w:ascii="Arial" w:hAnsi="Arial" w:cs="Arial"/>
          <w:sz w:val="24"/>
          <w:szCs w:val="24"/>
        </w:rPr>
        <w:t>FY</w:t>
      </w:r>
      <w:r>
        <w:rPr>
          <w:rFonts w:ascii="Arial" w:hAnsi="Arial" w:cs="Arial"/>
          <w:sz w:val="24"/>
          <w:szCs w:val="24"/>
        </w:rPr>
        <w:t>2016</w:t>
      </w:r>
      <w:r w:rsidR="00012480" w:rsidRPr="00C44D15">
        <w:rPr>
          <w:rFonts w:ascii="Arial" w:hAnsi="Arial" w:cs="Arial"/>
          <w:sz w:val="24"/>
          <w:szCs w:val="24"/>
        </w:rPr>
        <w:t xml:space="preserve">, the survey </w:t>
      </w:r>
      <w:r>
        <w:rPr>
          <w:rFonts w:ascii="Arial" w:hAnsi="Arial" w:cs="Arial"/>
          <w:sz w:val="24"/>
          <w:szCs w:val="24"/>
        </w:rPr>
        <w:t xml:space="preserve">was </w:t>
      </w:r>
      <w:r w:rsidR="002F5861">
        <w:rPr>
          <w:rFonts w:ascii="Arial" w:hAnsi="Arial" w:cs="Arial"/>
          <w:sz w:val="24"/>
          <w:szCs w:val="24"/>
        </w:rPr>
        <w:t>a paper questionnaire, and moved to the spring.</w:t>
      </w:r>
      <w:r w:rsidR="005F5081">
        <w:rPr>
          <w:rFonts w:ascii="Arial" w:hAnsi="Arial" w:cs="Arial"/>
          <w:sz w:val="24"/>
          <w:szCs w:val="24"/>
        </w:rPr>
        <w:t xml:space="preserve"> </w:t>
      </w:r>
      <w:r w:rsidR="00A43C15">
        <w:rPr>
          <w:rFonts w:ascii="Arial" w:hAnsi="Arial" w:cs="Arial"/>
          <w:sz w:val="24"/>
          <w:szCs w:val="24"/>
        </w:rPr>
        <w:t>Previous response</w:t>
      </w:r>
      <w:r w:rsidR="005F5081">
        <w:rPr>
          <w:rFonts w:ascii="Arial" w:hAnsi="Arial" w:cs="Arial"/>
          <w:sz w:val="24"/>
          <w:szCs w:val="24"/>
        </w:rPr>
        <w:t xml:space="preserve"> rates showed that paper surveys had a better response rate than online surveys from previous years.</w:t>
      </w:r>
      <w:r w:rsidR="00D82E8E" w:rsidRPr="00C44D15">
        <w:rPr>
          <w:rFonts w:ascii="Arial" w:hAnsi="Arial" w:cs="Arial"/>
          <w:sz w:val="24"/>
          <w:szCs w:val="24"/>
        </w:rPr>
        <w:t xml:space="preserve"> </w:t>
      </w:r>
      <w:r w:rsidR="00012480" w:rsidRPr="00C44D15">
        <w:rPr>
          <w:rFonts w:ascii="Arial" w:hAnsi="Arial" w:cs="Arial"/>
          <w:sz w:val="24"/>
          <w:szCs w:val="24"/>
        </w:rPr>
        <w:t>The s</w:t>
      </w:r>
      <w:r w:rsidR="00367B0F">
        <w:rPr>
          <w:rFonts w:ascii="Arial" w:hAnsi="Arial" w:cs="Arial"/>
          <w:sz w:val="24"/>
          <w:szCs w:val="24"/>
        </w:rPr>
        <w:t>urvey</w:t>
      </w:r>
      <w:r w:rsidR="00012480" w:rsidRPr="00C44D15">
        <w:rPr>
          <w:rFonts w:ascii="Arial" w:hAnsi="Arial" w:cs="Arial"/>
          <w:sz w:val="24"/>
          <w:szCs w:val="24"/>
        </w:rPr>
        <w:t xml:space="preserve"> was mail</w:t>
      </w:r>
      <w:r w:rsidR="00367B0F">
        <w:rPr>
          <w:rFonts w:ascii="Arial" w:hAnsi="Arial" w:cs="Arial"/>
          <w:sz w:val="24"/>
          <w:szCs w:val="24"/>
        </w:rPr>
        <w:t>ed to</w:t>
      </w:r>
      <w:r w:rsidR="002F5861">
        <w:rPr>
          <w:rFonts w:ascii="Arial" w:hAnsi="Arial" w:cs="Arial"/>
          <w:sz w:val="24"/>
          <w:szCs w:val="24"/>
        </w:rPr>
        <w:t xml:space="preserve"> 275 </w:t>
      </w:r>
      <w:r w:rsidR="00367B0F">
        <w:rPr>
          <w:rFonts w:ascii="Arial" w:hAnsi="Arial" w:cs="Arial"/>
          <w:sz w:val="24"/>
          <w:szCs w:val="24"/>
        </w:rPr>
        <w:t>respondent</w:t>
      </w:r>
      <w:r w:rsidR="00367B0F" w:rsidRPr="00C44D15">
        <w:rPr>
          <w:rFonts w:ascii="Arial" w:hAnsi="Arial" w:cs="Arial"/>
          <w:sz w:val="24"/>
          <w:szCs w:val="24"/>
        </w:rPr>
        <w:t>s</w:t>
      </w:r>
      <w:r w:rsidR="00012480">
        <w:rPr>
          <w:rFonts w:ascii="Arial" w:hAnsi="Arial" w:cs="Arial"/>
          <w:sz w:val="24"/>
          <w:szCs w:val="24"/>
        </w:rPr>
        <w:t>.  Response rate</w:t>
      </w:r>
      <w:r w:rsidR="002F5861">
        <w:rPr>
          <w:rFonts w:ascii="Arial" w:hAnsi="Arial" w:cs="Arial"/>
          <w:sz w:val="24"/>
          <w:szCs w:val="24"/>
        </w:rPr>
        <w:t xml:space="preserve"> was 29.3%</w:t>
      </w:r>
      <w:r w:rsidR="00645B0C">
        <w:rPr>
          <w:rFonts w:ascii="Arial" w:hAnsi="Arial" w:cs="Arial"/>
          <w:sz w:val="24"/>
          <w:szCs w:val="24"/>
        </w:rPr>
        <w:t>.  Recommendation</w:t>
      </w:r>
      <w:r w:rsidR="00367B0F">
        <w:rPr>
          <w:rFonts w:ascii="Arial" w:hAnsi="Arial" w:cs="Arial"/>
          <w:sz w:val="24"/>
          <w:szCs w:val="24"/>
        </w:rPr>
        <w:t>s</w:t>
      </w:r>
      <w:r w:rsidR="00645B0C">
        <w:rPr>
          <w:rFonts w:ascii="Arial" w:hAnsi="Arial" w:cs="Arial"/>
          <w:sz w:val="24"/>
          <w:szCs w:val="24"/>
        </w:rPr>
        <w:t xml:space="preserve"> for the </w:t>
      </w:r>
      <w:r w:rsidR="00D82E8E">
        <w:rPr>
          <w:rFonts w:ascii="Arial" w:hAnsi="Arial" w:cs="Arial"/>
          <w:sz w:val="24"/>
          <w:szCs w:val="24"/>
        </w:rPr>
        <w:t>next survey</w:t>
      </w:r>
      <w:r w:rsidR="00012480">
        <w:rPr>
          <w:rFonts w:ascii="Arial" w:hAnsi="Arial" w:cs="Arial"/>
          <w:sz w:val="24"/>
          <w:szCs w:val="24"/>
        </w:rPr>
        <w:t xml:space="preserve"> are: </w:t>
      </w:r>
      <w:r w:rsidR="002F5861">
        <w:rPr>
          <w:rFonts w:ascii="Arial" w:hAnsi="Arial" w:cs="Arial"/>
          <w:sz w:val="24"/>
          <w:szCs w:val="24"/>
        </w:rPr>
        <w:t>ensuring</w:t>
      </w:r>
      <w:r w:rsidR="005F5081">
        <w:rPr>
          <w:rFonts w:ascii="Arial" w:hAnsi="Arial" w:cs="Arial"/>
          <w:sz w:val="24"/>
          <w:szCs w:val="24"/>
        </w:rPr>
        <w:t xml:space="preserve"> it is correctly printed, reformatting </w:t>
      </w:r>
      <w:r w:rsidR="00A43C15">
        <w:rPr>
          <w:rFonts w:ascii="Arial" w:hAnsi="Arial" w:cs="Arial"/>
          <w:sz w:val="24"/>
          <w:szCs w:val="24"/>
        </w:rPr>
        <w:t xml:space="preserve">the first section </w:t>
      </w:r>
      <w:r w:rsidR="002F5861">
        <w:rPr>
          <w:rFonts w:ascii="Arial" w:hAnsi="Arial" w:cs="Arial"/>
          <w:sz w:val="24"/>
          <w:szCs w:val="24"/>
        </w:rPr>
        <w:t>to improve readability</w:t>
      </w:r>
      <w:r w:rsidR="005F5081">
        <w:rPr>
          <w:rFonts w:ascii="Arial" w:hAnsi="Arial" w:cs="Arial"/>
          <w:sz w:val="24"/>
          <w:szCs w:val="24"/>
        </w:rPr>
        <w:t>,</w:t>
      </w:r>
      <w:r w:rsidR="00012480">
        <w:rPr>
          <w:rFonts w:ascii="Arial" w:hAnsi="Arial" w:cs="Arial"/>
          <w:sz w:val="24"/>
          <w:szCs w:val="24"/>
        </w:rPr>
        <w:t xml:space="preserve"> </w:t>
      </w:r>
      <w:r w:rsidR="00645B0C">
        <w:rPr>
          <w:rFonts w:ascii="Arial" w:hAnsi="Arial" w:cs="Arial"/>
          <w:sz w:val="24"/>
          <w:szCs w:val="24"/>
        </w:rPr>
        <w:t xml:space="preserve">consider alternative survey planning such as </w:t>
      </w:r>
      <w:r w:rsidR="00012480">
        <w:rPr>
          <w:rFonts w:ascii="Arial" w:hAnsi="Arial" w:cs="Arial"/>
          <w:sz w:val="24"/>
          <w:szCs w:val="24"/>
        </w:rPr>
        <w:t xml:space="preserve">distribution of future surveys at a different time of year, </w:t>
      </w:r>
      <w:r w:rsidR="00645B0C">
        <w:rPr>
          <w:rFonts w:ascii="Arial" w:hAnsi="Arial" w:cs="Arial"/>
          <w:sz w:val="24"/>
          <w:szCs w:val="24"/>
        </w:rPr>
        <w:t xml:space="preserve">or </w:t>
      </w:r>
      <w:r w:rsidR="00012480">
        <w:rPr>
          <w:rFonts w:ascii="Arial" w:hAnsi="Arial" w:cs="Arial"/>
          <w:sz w:val="24"/>
          <w:szCs w:val="24"/>
        </w:rPr>
        <w:t xml:space="preserve">distributing the survey every other year, </w:t>
      </w:r>
      <w:r w:rsidR="00CE590A">
        <w:rPr>
          <w:rFonts w:ascii="Arial" w:hAnsi="Arial" w:cs="Arial"/>
          <w:sz w:val="24"/>
          <w:szCs w:val="24"/>
        </w:rPr>
        <w:t xml:space="preserve">and </w:t>
      </w:r>
      <w:r w:rsidR="00012480">
        <w:rPr>
          <w:rFonts w:ascii="Arial" w:hAnsi="Arial" w:cs="Arial"/>
          <w:sz w:val="24"/>
          <w:szCs w:val="24"/>
        </w:rPr>
        <w:t>follow up wit</w:t>
      </w:r>
      <w:r w:rsidR="00645B0C">
        <w:rPr>
          <w:rFonts w:ascii="Arial" w:hAnsi="Arial" w:cs="Arial"/>
          <w:sz w:val="24"/>
          <w:szCs w:val="24"/>
        </w:rPr>
        <w:t>h participants with phone calls.</w:t>
      </w:r>
    </w:p>
    <w:p w14:paraId="60F5EA29" w14:textId="77777777" w:rsidR="00C44D15" w:rsidRPr="00D40CF6" w:rsidRDefault="00C44D15" w:rsidP="004512D0">
      <w:pPr>
        <w:spacing w:after="0" w:line="360" w:lineRule="auto"/>
        <w:rPr>
          <w:rFonts w:ascii="Arial" w:hAnsi="Arial" w:cs="Arial"/>
          <w:b/>
          <w:sz w:val="24"/>
          <w:szCs w:val="24"/>
          <w:u w:val="single"/>
        </w:rPr>
      </w:pPr>
    </w:p>
    <w:p w14:paraId="552516FC" w14:textId="77777777" w:rsidR="004E525A" w:rsidRDefault="00F662D2" w:rsidP="004512D0">
      <w:pPr>
        <w:pStyle w:val="ColorfulList-Accent11"/>
        <w:spacing w:after="0" w:line="360" w:lineRule="auto"/>
        <w:ind w:left="0"/>
        <w:rPr>
          <w:rFonts w:ascii="Arial" w:eastAsia="Times New Roman" w:hAnsi="Arial" w:cs="Arial"/>
          <w:b/>
          <w:color w:val="000000"/>
          <w:sz w:val="24"/>
          <w:szCs w:val="24"/>
          <w:u w:val="single"/>
        </w:rPr>
      </w:pPr>
      <w:r w:rsidRPr="00D40CF6">
        <w:rPr>
          <w:rFonts w:ascii="Arial" w:eastAsia="Times New Roman" w:hAnsi="Arial" w:cs="Arial"/>
          <w:b/>
          <w:color w:val="000000"/>
          <w:sz w:val="24"/>
          <w:szCs w:val="24"/>
          <w:u w:val="single"/>
        </w:rPr>
        <w:t>Results</w:t>
      </w:r>
    </w:p>
    <w:p w14:paraId="2961C603" w14:textId="77777777" w:rsidR="0072500D" w:rsidRDefault="008B3BB8" w:rsidP="008B3BB8">
      <w:pPr>
        <w:pStyle w:val="ColorfulList-Accent11"/>
        <w:spacing w:after="0" w:line="360" w:lineRule="auto"/>
        <w:ind w:left="0"/>
        <w:rPr>
          <w:rFonts w:ascii="Arial" w:eastAsia="Times New Roman" w:hAnsi="Arial" w:cs="Arial"/>
          <w:sz w:val="24"/>
          <w:szCs w:val="24"/>
        </w:rPr>
      </w:pPr>
      <w:r w:rsidRPr="008B3BB8">
        <w:rPr>
          <w:rFonts w:ascii="Arial" w:eastAsia="Times New Roman" w:hAnsi="Arial" w:cs="Arial"/>
          <w:color w:val="000000"/>
          <w:sz w:val="24"/>
          <w:szCs w:val="24"/>
          <w:u w:val="single"/>
        </w:rPr>
        <w:t>Response Rate:</w:t>
      </w:r>
      <w:r w:rsidRPr="008B3BB8">
        <w:rPr>
          <w:rFonts w:ascii="Arial" w:eastAsia="Times New Roman" w:hAnsi="Arial" w:cs="Arial"/>
          <w:color w:val="000000"/>
          <w:sz w:val="24"/>
          <w:szCs w:val="24"/>
        </w:rPr>
        <w:t xml:space="preserve"> </w:t>
      </w:r>
      <w:r w:rsidR="0072500D" w:rsidRPr="008B3BB8">
        <w:rPr>
          <w:rFonts w:ascii="Arial" w:eastAsia="Times New Roman" w:hAnsi="Arial" w:cs="Arial"/>
          <w:sz w:val="24"/>
          <w:szCs w:val="24"/>
        </w:rPr>
        <w:t>The</w:t>
      </w:r>
      <w:r w:rsidR="0072500D">
        <w:rPr>
          <w:rFonts w:ascii="Arial" w:eastAsia="Times New Roman" w:hAnsi="Arial" w:cs="Arial"/>
          <w:sz w:val="24"/>
          <w:szCs w:val="24"/>
        </w:rPr>
        <w:t xml:space="preserve"> response rate did </w:t>
      </w:r>
      <w:r w:rsidR="007A3F83">
        <w:rPr>
          <w:rFonts w:ascii="Arial" w:eastAsia="Times New Roman" w:hAnsi="Arial" w:cs="Arial"/>
          <w:sz w:val="24"/>
          <w:szCs w:val="24"/>
        </w:rPr>
        <w:t>not greatly improve between 2014 and 2016</w:t>
      </w:r>
      <w:r w:rsidR="0072500D">
        <w:rPr>
          <w:rFonts w:ascii="Arial" w:eastAsia="Times New Roman" w:hAnsi="Arial" w:cs="Arial"/>
          <w:sz w:val="24"/>
          <w:szCs w:val="24"/>
        </w:rPr>
        <w:t xml:space="preserve">.  Table 1 includes the </w:t>
      </w:r>
      <w:r w:rsidR="002F5861">
        <w:rPr>
          <w:rFonts w:ascii="Arial" w:eastAsia="Times New Roman" w:hAnsi="Arial" w:cs="Arial"/>
          <w:sz w:val="24"/>
          <w:szCs w:val="24"/>
        </w:rPr>
        <w:t xml:space="preserve">response rate for the last eight years. </w:t>
      </w:r>
      <w:r w:rsidR="0072500D">
        <w:rPr>
          <w:rFonts w:ascii="Arial" w:eastAsia="Times New Roman" w:hAnsi="Arial" w:cs="Arial"/>
          <w:sz w:val="24"/>
          <w:szCs w:val="24"/>
        </w:rPr>
        <w:t>Note the drop in response rate with the shift to the web questionnaire</w:t>
      </w:r>
      <w:r>
        <w:rPr>
          <w:rFonts w:ascii="Arial" w:eastAsia="Times New Roman" w:hAnsi="Arial" w:cs="Arial"/>
          <w:sz w:val="24"/>
          <w:szCs w:val="24"/>
        </w:rPr>
        <w:t xml:space="preserve"> in 2010</w:t>
      </w:r>
      <w:r w:rsidR="0072500D">
        <w:rPr>
          <w:rFonts w:ascii="Arial" w:eastAsia="Times New Roman" w:hAnsi="Arial" w:cs="Arial"/>
          <w:sz w:val="24"/>
          <w:szCs w:val="24"/>
        </w:rPr>
        <w:t>.</w:t>
      </w:r>
    </w:p>
    <w:p w14:paraId="09C7C87B" w14:textId="77777777" w:rsidR="00C44D15" w:rsidRDefault="00C44D15" w:rsidP="0072500D">
      <w:pPr>
        <w:pStyle w:val="ColorfulList-Accent11"/>
        <w:spacing w:after="0" w:line="360" w:lineRule="auto"/>
        <w:ind w:left="0" w:firstLine="720"/>
        <w:rPr>
          <w:rFonts w:ascii="Arial" w:eastAsia="Times New Roman" w:hAnsi="Arial" w:cs="Arial"/>
          <w:sz w:val="24"/>
          <w:szCs w:val="24"/>
        </w:rPr>
      </w:pPr>
    </w:p>
    <w:tbl>
      <w:tblPr>
        <w:tblStyle w:val="TableGrid"/>
        <w:tblW w:w="0" w:type="auto"/>
        <w:jc w:val="center"/>
        <w:tblLook w:val="04A0" w:firstRow="1" w:lastRow="0" w:firstColumn="1" w:lastColumn="0" w:noHBand="0" w:noVBand="1"/>
      </w:tblPr>
      <w:tblGrid>
        <w:gridCol w:w="1537"/>
        <w:gridCol w:w="1059"/>
        <w:gridCol w:w="1060"/>
        <w:gridCol w:w="1051"/>
        <w:gridCol w:w="1051"/>
        <w:gridCol w:w="1052"/>
        <w:gridCol w:w="1053"/>
        <w:gridCol w:w="1060"/>
        <w:gridCol w:w="1060"/>
      </w:tblGrid>
      <w:tr w:rsidR="007A3F83" w:rsidRPr="004C76FF" w14:paraId="649E999F" w14:textId="77777777" w:rsidTr="002F5861">
        <w:trPr>
          <w:trHeight w:val="289"/>
          <w:jc w:val="center"/>
        </w:trPr>
        <w:tc>
          <w:tcPr>
            <w:tcW w:w="1537" w:type="dxa"/>
            <w:vAlign w:val="center"/>
          </w:tcPr>
          <w:p w14:paraId="5062DEFD" w14:textId="77777777" w:rsidR="007A3F83" w:rsidRPr="004C76FF" w:rsidRDefault="007A3F83" w:rsidP="004C76FF">
            <w:pPr>
              <w:pStyle w:val="ColorfulList-Accent11"/>
              <w:spacing w:after="0" w:line="240" w:lineRule="auto"/>
              <w:ind w:left="0"/>
              <w:rPr>
                <w:rFonts w:ascii="Arial" w:eastAsia="Times New Roman" w:hAnsi="Arial" w:cs="Arial"/>
                <w:b/>
                <w:sz w:val="24"/>
                <w:szCs w:val="24"/>
              </w:rPr>
            </w:pPr>
            <w:r w:rsidRPr="004C76FF">
              <w:rPr>
                <w:rFonts w:ascii="Arial" w:eastAsia="Times New Roman" w:hAnsi="Arial" w:cs="Arial"/>
                <w:b/>
                <w:sz w:val="24"/>
                <w:szCs w:val="24"/>
              </w:rPr>
              <w:t>Method</w:t>
            </w:r>
          </w:p>
        </w:tc>
        <w:tc>
          <w:tcPr>
            <w:tcW w:w="2119" w:type="dxa"/>
            <w:gridSpan w:val="2"/>
            <w:vAlign w:val="center"/>
          </w:tcPr>
          <w:p w14:paraId="7C11749C" w14:textId="77777777" w:rsidR="007A3F83" w:rsidRPr="004C76FF" w:rsidRDefault="007A3F83" w:rsidP="004C76FF">
            <w:pPr>
              <w:pStyle w:val="ColorfulList-Accent11"/>
              <w:spacing w:after="0" w:line="240" w:lineRule="auto"/>
              <w:ind w:left="0"/>
              <w:jc w:val="center"/>
              <w:rPr>
                <w:rFonts w:ascii="Arial" w:eastAsia="Times New Roman" w:hAnsi="Arial" w:cs="Arial"/>
                <w:b/>
                <w:sz w:val="24"/>
                <w:szCs w:val="24"/>
              </w:rPr>
            </w:pPr>
            <w:r w:rsidRPr="004C76FF">
              <w:rPr>
                <w:rFonts w:ascii="Arial" w:eastAsia="Times New Roman" w:hAnsi="Arial" w:cs="Arial"/>
                <w:b/>
                <w:sz w:val="24"/>
                <w:szCs w:val="24"/>
              </w:rPr>
              <w:t>Paper</w:t>
            </w:r>
          </w:p>
        </w:tc>
        <w:tc>
          <w:tcPr>
            <w:tcW w:w="4207" w:type="dxa"/>
            <w:gridSpan w:val="4"/>
            <w:vAlign w:val="center"/>
          </w:tcPr>
          <w:p w14:paraId="44B389AB" w14:textId="77777777" w:rsidR="007A3F83" w:rsidRPr="004C76FF" w:rsidRDefault="007A3F83" w:rsidP="004C76FF">
            <w:pPr>
              <w:pStyle w:val="ColorfulList-Accent11"/>
              <w:spacing w:after="0" w:line="240" w:lineRule="auto"/>
              <w:ind w:left="0"/>
              <w:jc w:val="center"/>
              <w:rPr>
                <w:rFonts w:ascii="Arial" w:eastAsia="Times New Roman" w:hAnsi="Arial" w:cs="Arial"/>
                <w:b/>
                <w:sz w:val="24"/>
                <w:szCs w:val="24"/>
              </w:rPr>
            </w:pPr>
            <w:r w:rsidRPr="004C76FF">
              <w:rPr>
                <w:rFonts w:ascii="Arial" w:eastAsia="Times New Roman" w:hAnsi="Arial" w:cs="Arial"/>
                <w:b/>
                <w:sz w:val="24"/>
                <w:szCs w:val="24"/>
              </w:rPr>
              <w:t>Internet</w:t>
            </w:r>
          </w:p>
        </w:tc>
        <w:tc>
          <w:tcPr>
            <w:tcW w:w="2120" w:type="dxa"/>
            <w:gridSpan w:val="2"/>
            <w:vAlign w:val="center"/>
          </w:tcPr>
          <w:p w14:paraId="36B54ED9" w14:textId="77777777" w:rsidR="007A3F83" w:rsidRPr="004C76FF" w:rsidRDefault="007A3F83" w:rsidP="004C76FF">
            <w:pPr>
              <w:pStyle w:val="ColorfulList-Accent11"/>
              <w:spacing w:after="0" w:line="240" w:lineRule="auto"/>
              <w:ind w:left="0"/>
              <w:jc w:val="center"/>
              <w:rPr>
                <w:rFonts w:ascii="Arial" w:eastAsia="Times New Roman" w:hAnsi="Arial" w:cs="Arial"/>
                <w:b/>
                <w:sz w:val="24"/>
                <w:szCs w:val="24"/>
              </w:rPr>
            </w:pPr>
            <w:r w:rsidRPr="004C76FF">
              <w:rPr>
                <w:rFonts w:ascii="Arial" w:eastAsia="Times New Roman" w:hAnsi="Arial" w:cs="Arial"/>
                <w:b/>
                <w:sz w:val="24"/>
                <w:szCs w:val="24"/>
              </w:rPr>
              <w:t>Paper</w:t>
            </w:r>
          </w:p>
        </w:tc>
      </w:tr>
      <w:tr w:rsidR="007A3F83" w14:paraId="39F2262B" w14:textId="77777777" w:rsidTr="002F5861">
        <w:trPr>
          <w:trHeight w:val="411"/>
          <w:jc w:val="center"/>
        </w:trPr>
        <w:tc>
          <w:tcPr>
            <w:tcW w:w="1537" w:type="dxa"/>
            <w:vAlign w:val="center"/>
          </w:tcPr>
          <w:p w14:paraId="33784AD8" w14:textId="77777777" w:rsidR="007A3F83" w:rsidRDefault="007A3F83" w:rsidP="0072500D">
            <w:pPr>
              <w:pStyle w:val="ColorfulList-Accent11"/>
              <w:spacing w:after="0" w:line="360" w:lineRule="auto"/>
              <w:ind w:left="0"/>
              <w:rPr>
                <w:rFonts w:ascii="Arial" w:eastAsia="Times New Roman" w:hAnsi="Arial" w:cs="Arial"/>
                <w:sz w:val="24"/>
                <w:szCs w:val="24"/>
              </w:rPr>
            </w:pPr>
            <w:r>
              <w:rPr>
                <w:rFonts w:ascii="Arial" w:eastAsia="Times New Roman" w:hAnsi="Arial" w:cs="Arial"/>
                <w:sz w:val="24"/>
                <w:szCs w:val="24"/>
              </w:rPr>
              <w:t>Year</w:t>
            </w:r>
          </w:p>
        </w:tc>
        <w:tc>
          <w:tcPr>
            <w:tcW w:w="1059" w:type="dxa"/>
            <w:vAlign w:val="center"/>
          </w:tcPr>
          <w:p w14:paraId="28DC1165"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2008</w:t>
            </w:r>
          </w:p>
        </w:tc>
        <w:tc>
          <w:tcPr>
            <w:tcW w:w="1060" w:type="dxa"/>
            <w:vAlign w:val="center"/>
          </w:tcPr>
          <w:p w14:paraId="1D9409C3"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2009</w:t>
            </w:r>
          </w:p>
        </w:tc>
        <w:tc>
          <w:tcPr>
            <w:tcW w:w="1051" w:type="dxa"/>
            <w:vAlign w:val="center"/>
          </w:tcPr>
          <w:p w14:paraId="53474EE9"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2010</w:t>
            </w:r>
          </w:p>
        </w:tc>
        <w:tc>
          <w:tcPr>
            <w:tcW w:w="1051" w:type="dxa"/>
            <w:vAlign w:val="center"/>
          </w:tcPr>
          <w:p w14:paraId="71AB2F03"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2011</w:t>
            </w:r>
          </w:p>
        </w:tc>
        <w:tc>
          <w:tcPr>
            <w:tcW w:w="1052" w:type="dxa"/>
            <w:vAlign w:val="center"/>
          </w:tcPr>
          <w:p w14:paraId="4F377548"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2012</w:t>
            </w:r>
          </w:p>
        </w:tc>
        <w:tc>
          <w:tcPr>
            <w:tcW w:w="1053" w:type="dxa"/>
            <w:vAlign w:val="center"/>
          </w:tcPr>
          <w:p w14:paraId="1D9B3A47"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2013</w:t>
            </w:r>
          </w:p>
        </w:tc>
        <w:tc>
          <w:tcPr>
            <w:tcW w:w="1060" w:type="dxa"/>
            <w:vAlign w:val="center"/>
          </w:tcPr>
          <w:p w14:paraId="67177794"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2014</w:t>
            </w:r>
          </w:p>
        </w:tc>
        <w:tc>
          <w:tcPr>
            <w:tcW w:w="1060" w:type="dxa"/>
          </w:tcPr>
          <w:p w14:paraId="0A53550A"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2016</w:t>
            </w:r>
          </w:p>
        </w:tc>
      </w:tr>
      <w:tr w:rsidR="007A3F83" w14:paraId="10D189DC" w14:textId="77777777" w:rsidTr="002F5861">
        <w:trPr>
          <w:trHeight w:val="852"/>
          <w:jc w:val="center"/>
        </w:trPr>
        <w:tc>
          <w:tcPr>
            <w:tcW w:w="1537" w:type="dxa"/>
            <w:vAlign w:val="center"/>
          </w:tcPr>
          <w:p w14:paraId="19AF08AE" w14:textId="77777777" w:rsidR="007A3F83" w:rsidRDefault="007A3F83" w:rsidP="0072500D">
            <w:pPr>
              <w:pStyle w:val="ColorfulList-Accent11"/>
              <w:spacing w:after="0" w:line="360" w:lineRule="auto"/>
              <w:ind w:left="0"/>
              <w:rPr>
                <w:rFonts w:ascii="Arial" w:eastAsia="Times New Roman" w:hAnsi="Arial" w:cs="Arial"/>
                <w:sz w:val="24"/>
                <w:szCs w:val="24"/>
              </w:rPr>
            </w:pPr>
            <w:r>
              <w:rPr>
                <w:rFonts w:ascii="Arial" w:eastAsia="Times New Roman" w:hAnsi="Arial" w:cs="Arial"/>
                <w:sz w:val="24"/>
                <w:szCs w:val="24"/>
              </w:rPr>
              <w:t>Number of respondents</w:t>
            </w:r>
          </w:p>
        </w:tc>
        <w:tc>
          <w:tcPr>
            <w:tcW w:w="1059" w:type="dxa"/>
            <w:vAlign w:val="center"/>
          </w:tcPr>
          <w:p w14:paraId="6AECB281"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130</w:t>
            </w:r>
          </w:p>
        </w:tc>
        <w:tc>
          <w:tcPr>
            <w:tcW w:w="1060" w:type="dxa"/>
            <w:vAlign w:val="center"/>
          </w:tcPr>
          <w:p w14:paraId="15890104"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107</w:t>
            </w:r>
          </w:p>
        </w:tc>
        <w:tc>
          <w:tcPr>
            <w:tcW w:w="1051" w:type="dxa"/>
            <w:vAlign w:val="center"/>
          </w:tcPr>
          <w:p w14:paraId="43F8BD8F"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76</w:t>
            </w:r>
          </w:p>
        </w:tc>
        <w:tc>
          <w:tcPr>
            <w:tcW w:w="1051" w:type="dxa"/>
            <w:vAlign w:val="center"/>
          </w:tcPr>
          <w:p w14:paraId="388CFF40"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62</w:t>
            </w:r>
          </w:p>
        </w:tc>
        <w:tc>
          <w:tcPr>
            <w:tcW w:w="1052" w:type="dxa"/>
            <w:vAlign w:val="center"/>
          </w:tcPr>
          <w:p w14:paraId="14290E19"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89</w:t>
            </w:r>
          </w:p>
        </w:tc>
        <w:tc>
          <w:tcPr>
            <w:tcW w:w="1053" w:type="dxa"/>
            <w:vAlign w:val="center"/>
          </w:tcPr>
          <w:p w14:paraId="060E9261"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59</w:t>
            </w:r>
          </w:p>
        </w:tc>
        <w:tc>
          <w:tcPr>
            <w:tcW w:w="1060" w:type="dxa"/>
            <w:vAlign w:val="center"/>
          </w:tcPr>
          <w:p w14:paraId="781236AD" w14:textId="77777777" w:rsidR="007A3F83" w:rsidRDefault="007A3F83" w:rsidP="0072500D">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79</w:t>
            </w:r>
          </w:p>
        </w:tc>
        <w:tc>
          <w:tcPr>
            <w:tcW w:w="1060" w:type="dxa"/>
            <w:vAlign w:val="center"/>
          </w:tcPr>
          <w:p w14:paraId="6DC887D3" w14:textId="77777777" w:rsidR="002F5861" w:rsidRDefault="002F5861" w:rsidP="002F5861">
            <w:pPr>
              <w:pStyle w:val="ColorfulList-Accent11"/>
              <w:spacing w:after="0" w:line="360" w:lineRule="auto"/>
              <w:ind w:left="0"/>
              <w:jc w:val="center"/>
              <w:rPr>
                <w:rFonts w:ascii="Arial" w:eastAsia="Times New Roman" w:hAnsi="Arial" w:cs="Arial"/>
                <w:sz w:val="24"/>
                <w:szCs w:val="24"/>
              </w:rPr>
            </w:pPr>
          </w:p>
          <w:p w14:paraId="410FA8F5" w14:textId="77777777" w:rsidR="007A3F83" w:rsidRDefault="002F5861" w:rsidP="002F5861">
            <w:pPr>
              <w:pStyle w:val="ColorfulList-Accent11"/>
              <w:spacing w:after="0" w:line="360" w:lineRule="auto"/>
              <w:ind w:left="0"/>
              <w:jc w:val="center"/>
              <w:rPr>
                <w:rFonts w:ascii="Arial" w:eastAsia="Times New Roman" w:hAnsi="Arial" w:cs="Arial"/>
                <w:sz w:val="24"/>
                <w:szCs w:val="24"/>
              </w:rPr>
            </w:pPr>
            <w:r>
              <w:rPr>
                <w:rFonts w:ascii="Arial" w:eastAsia="Times New Roman" w:hAnsi="Arial" w:cs="Arial"/>
                <w:sz w:val="24"/>
                <w:szCs w:val="24"/>
              </w:rPr>
              <w:t>81</w:t>
            </w:r>
            <w:r>
              <w:rPr>
                <w:rFonts w:ascii="Arial" w:eastAsia="Times New Roman" w:hAnsi="Arial" w:cs="Arial"/>
                <w:sz w:val="24"/>
                <w:szCs w:val="24"/>
              </w:rPr>
              <w:br/>
            </w:r>
          </w:p>
        </w:tc>
      </w:tr>
    </w:tbl>
    <w:p w14:paraId="62624C55" w14:textId="77777777" w:rsidR="00C44D15" w:rsidRDefault="008B3BB8" w:rsidP="008B3BB8">
      <w:pPr>
        <w:pStyle w:val="ColorfulList-Accent11"/>
        <w:spacing w:after="0" w:line="360" w:lineRule="auto"/>
        <w:ind w:left="0"/>
        <w:rPr>
          <w:rFonts w:ascii="Arial" w:eastAsia="Times New Roman" w:hAnsi="Arial" w:cs="Arial"/>
          <w:sz w:val="24"/>
          <w:szCs w:val="24"/>
        </w:rPr>
      </w:pPr>
      <w:r w:rsidRPr="008B3BB8">
        <w:rPr>
          <w:rFonts w:ascii="Arial" w:eastAsia="Times New Roman" w:hAnsi="Arial" w:cs="Arial"/>
          <w:sz w:val="24"/>
          <w:szCs w:val="24"/>
          <w:u w:val="single"/>
        </w:rPr>
        <w:lastRenderedPageBreak/>
        <w:t>Outcomes:</w:t>
      </w:r>
      <w:r>
        <w:rPr>
          <w:rFonts w:ascii="Arial" w:eastAsia="Times New Roman" w:hAnsi="Arial" w:cs="Arial"/>
          <w:sz w:val="24"/>
          <w:szCs w:val="24"/>
        </w:rPr>
        <w:t xml:space="preserve"> </w:t>
      </w:r>
      <w:r w:rsidR="00DE046C" w:rsidRPr="00D40CF6">
        <w:rPr>
          <w:rFonts w:ascii="Arial" w:eastAsia="Times New Roman" w:hAnsi="Arial" w:cs="Arial"/>
          <w:sz w:val="24"/>
          <w:szCs w:val="24"/>
        </w:rPr>
        <w:t xml:space="preserve">The percentage of respondents who agreed with the statements on the Stakeholder Survey </w:t>
      </w:r>
      <w:r w:rsidR="0097577A" w:rsidRPr="00D40CF6">
        <w:rPr>
          <w:rFonts w:ascii="Arial" w:eastAsia="Times New Roman" w:hAnsi="Arial" w:cs="Arial"/>
          <w:sz w:val="24"/>
          <w:szCs w:val="24"/>
        </w:rPr>
        <w:t>suggest</w:t>
      </w:r>
      <w:r w:rsidR="00D40CF6" w:rsidRPr="00D40CF6">
        <w:rPr>
          <w:rFonts w:ascii="Arial" w:eastAsia="Times New Roman" w:hAnsi="Arial" w:cs="Arial"/>
          <w:sz w:val="24"/>
          <w:szCs w:val="24"/>
        </w:rPr>
        <w:t>s</w:t>
      </w:r>
      <w:r w:rsidR="007C68D9">
        <w:rPr>
          <w:rFonts w:ascii="Arial" w:eastAsia="Times New Roman" w:hAnsi="Arial" w:cs="Arial"/>
          <w:sz w:val="24"/>
          <w:szCs w:val="24"/>
        </w:rPr>
        <w:t xml:space="preserve"> that Region Ten has improved from previous years.</w:t>
      </w:r>
      <w:r w:rsidR="0097577A" w:rsidRPr="00D40CF6">
        <w:rPr>
          <w:rFonts w:ascii="Arial" w:eastAsia="Times New Roman" w:hAnsi="Arial" w:cs="Arial"/>
          <w:sz w:val="24"/>
          <w:szCs w:val="24"/>
        </w:rPr>
        <w:t xml:space="preserve"> </w:t>
      </w:r>
      <w:r w:rsidR="007C68D9">
        <w:rPr>
          <w:rFonts w:ascii="Arial" w:eastAsia="Times New Roman" w:hAnsi="Arial" w:cs="Arial"/>
          <w:sz w:val="24"/>
          <w:szCs w:val="24"/>
        </w:rPr>
        <w:t xml:space="preserve">In the free response section of the survey it was suggested that Region Ten invest in more bilingual staff and materials, specifically involving Spanish. In addition, there was a high demand for faster and more frequent psychiatric appointments. </w:t>
      </w:r>
      <w:r w:rsidR="004420F2" w:rsidRPr="00D40CF6">
        <w:rPr>
          <w:rFonts w:ascii="Arial" w:eastAsia="Times New Roman" w:hAnsi="Arial" w:cs="Arial"/>
          <w:sz w:val="24"/>
          <w:szCs w:val="24"/>
        </w:rPr>
        <w:t xml:space="preserve">While the difference is not statistically significant, the percentages </w:t>
      </w:r>
      <w:r w:rsidR="0072500D">
        <w:rPr>
          <w:rFonts w:ascii="Arial" w:eastAsia="Times New Roman" w:hAnsi="Arial" w:cs="Arial"/>
          <w:sz w:val="24"/>
          <w:szCs w:val="24"/>
        </w:rPr>
        <w:t>appear higher in</w:t>
      </w:r>
      <w:r w:rsidR="004420F2" w:rsidRPr="00D40CF6">
        <w:rPr>
          <w:rFonts w:ascii="Arial" w:eastAsia="Times New Roman" w:hAnsi="Arial" w:cs="Arial"/>
          <w:sz w:val="24"/>
          <w:szCs w:val="24"/>
        </w:rPr>
        <w:t xml:space="preserve"> all categories.  </w:t>
      </w:r>
      <w:r w:rsidR="0072500D">
        <w:rPr>
          <w:rFonts w:ascii="Arial" w:eastAsia="Times New Roman" w:hAnsi="Arial" w:cs="Arial"/>
          <w:sz w:val="24"/>
          <w:szCs w:val="24"/>
        </w:rPr>
        <w:t>Historically, “S</w:t>
      </w:r>
      <w:r w:rsidR="00C2061D" w:rsidRPr="00D40CF6">
        <w:rPr>
          <w:rFonts w:ascii="Arial" w:eastAsia="Times New Roman" w:hAnsi="Arial" w:cs="Arial"/>
          <w:sz w:val="24"/>
          <w:szCs w:val="24"/>
        </w:rPr>
        <w:t>taff return my calls within 24 hours</w:t>
      </w:r>
      <w:r w:rsidR="0072500D">
        <w:rPr>
          <w:rFonts w:ascii="Arial" w:eastAsia="Times New Roman" w:hAnsi="Arial" w:cs="Arial"/>
          <w:sz w:val="24"/>
          <w:szCs w:val="24"/>
        </w:rPr>
        <w:t>,</w:t>
      </w:r>
      <w:r w:rsidR="00C2061D" w:rsidRPr="00D40CF6">
        <w:rPr>
          <w:rFonts w:ascii="Arial" w:eastAsia="Times New Roman" w:hAnsi="Arial" w:cs="Arial"/>
          <w:sz w:val="24"/>
          <w:szCs w:val="24"/>
        </w:rPr>
        <w:t>” has been an area of concern with low</w:t>
      </w:r>
      <w:r w:rsidR="0072500D">
        <w:rPr>
          <w:rFonts w:ascii="Arial" w:eastAsia="Times New Roman" w:hAnsi="Arial" w:cs="Arial"/>
          <w:sz w:val="24"/>
          <w:szCs w:val="24"/>
        </w:rPr>
        <w:t xml:space="preserve">er rates of agreement. This year </w:t>
      </w:r>
      <w:r w:rsidR="0097577A" w:rsidRPr="00D40CF6">
        <w:rPr>
          <w:rFonts w:ascii="Arial" w:eastAsia="Times New Roman" w:hAnsi="Arial" w:cs="Arial"/>
          <w:sz w:val="24"/>
          <w:szCs w:val="24"/>
        </w:rPr>
        <w:t>suggests</w:t>
      </w:r>
      <w:r w:rsidR="00C2061D" w:rsidRPr="00D40CF6">
        <w:rPr>
          <w:rFonts w:ascii="Arial" w:eastAsia="Times New Roman" w:hAnsi="Arial" w:cs="Arial"/>
          <w:sz w:val="24"/>
          <w:szCs w:val="24"/>
        </w:rPr>
        <w:t xml:space="preserve"> </w:t>
      </w:r>
      <w:r w:rsidR="007C68D9">
        <w:rPr>
          <w:rFonts w:ascii="Arial" w:eastAsia="Times New Roman" w:hAnsi="Arial" w:cs="Arial"/>
          <w:sz w:val="24"/>
          <w:szCs w:val="24"/>
        </w:rPr>
        <w:t xml:space="preserve">that it has remained stable at 86% compared to 85% in 2014. </w:t>
      </w:r>
      <w:r w:rsidR="0097577A" w:rsidRPr="00D40CF6">
        <w:rPr>
          <w:rFonts w:ascii="Arial" w:eastAsia="Times New Roman" w:hAnsi="Arial" w:cs="Arial"/>
          <w:sz w:val="24"/>
          <w:szCs w:val="24"/>
        </w:rPr>
        <w:t>All other areas report agreement in the high 90s.</w:t>
      </w:r>
    </w:p>
    <w:p w14:paraId="70174F43" w14:textId="77777777" w:rsidR="00D56C31" w:rsidRPr="00D56C31" w:rsidRDefault="00D56C31" w:rsidP="00D56C31">
      <w:pPr>
        <w:pStyle w:val="ColorfulList-Accent11"/>
        <w:spacing w:after="0" w:line="360" w:lineRule="auto"/>
        <w:ind w:left="0" w:firstLine="720"/>
        <w:rPr>
          <w:rFonts w:ascii="Arial" w:eastAsia="Times New Roman" w:hAnsi="Arial" w:cs="Arial"/>
          <w:sz w:val="24"/>
          <w:szCs w:val="24"/>
        </w:rPr>
      </w:pPr>
    </w:p>
    <w:p w14:paraId="4948BD3E" w14:textId="77777777" w:rsidR="00C44D15" w:rsidRDefault="00D40CF6" w:rsidP="00FA619E">
      <w:pPr>
        <w:spacing w:line="360" w:lineRule="auto"/>
        <w:ind w:firstLine="720"/>
        <w:rPr>
          <w:rFonts w:ascii="Arial" w:hAnsi="Arial" w:cs="Arial"/>
          <w:sz w:val="24"/>
          <w:szCs w:val="24"/>
        </w:rPr>
      </w:pPr>
      <w:r>
        <w:rPr>
          <w:rFonts w:ascii="Arial" w:hAnsi="Arial" w:cs="Arial"/>
          <w:sz w:val="24"/>
          <w:szCs w:val="24"/>
        </w:rPr>
        <w:t>The tables below illustrate the high percentages of agreement with the quality of Region Ten interactions with stakeholders.  In parenthesis are the numbers of participants included in the analysis of each statement.  These results are not significantly different from last year.</w:t>
      </w:r>
    </w:p>
    <w:tbl>
      <w:tblPr>
        <w:tblStyle w:val="TableGrid"/>
        <w:tblW w:w="0" w:type="auto"/>
        <w:tblLook w:val="04A0" w:firstRow="1" w:lastRow="0" w:firstColumn="1" w:lastColumn="0" w:noHBand="0" w:noVBand="1"/>
      </w:tblPr>
      <w:tblGrid>
        <w:gridCol w:w="6620"/>
        <w:gridCol w:w="2398"/>
      </w:tblGrid>
      <w:tr w:rsidR="00F600A3" w:rsidRPr="00D40CF6" w14:paraId="7C7F3651" w14:textId="77777777" w:rsidTr="00D40CF6">
        <w:trPr>
          <w:gridAfter w:val="1"/>
          <w:wAfter w:w="2398" w:type="dxa"/>
        </w:trPr>
        <w:tc>
          <w:tcPr>
            <w:tcW w:w="6620" w:type="dxa"/>
            <w:tcBorders>
              <w:top w:val="nil"/>
              <w:left w:val="nil"/>
              <w:bottom w:val="single" w:sz="4" w:space="0" w:color="auto"/>
              <w:right w:val="nil"/>
            </w:tcBorders>
          </w:tcPr>
          <w:p w14:paraId="0690CFC4" w14:textId="08E42035" w:rsidR="00F600A3" w:rsidRPr="00D40CF6" w:rsidRDefault="00F600A3" w:rsidP="00B21889">
            <w:pPr>
              <w:pStyle w:val="ColorfulList-Accent11"/>
              <w:spacing w:after="0" w:line="360" w:lineRule="auto"/>
              <w:ind w:left="0"/>
              <w:rPr>
                <w:rFonts w:ascii="Arial" w:eastAsia="Times New Roman" w:hAnsi="Arial" w:cs="Arial"/>
                <w:b/>
                <w:color w:val="000000"/>
                <w:sz w:val="24"/>
                <w:szCs w:val="24"/>
              </w:rPr>
            </w:pPr>
            <w:r w:rsidRPr="00D40CF6">
              <w:rPr>
                <w:rFonts w:ascii="Arial" w:eastAsia="Times New Roman" w:hAnsi="Arial" w:cs="Arial"/>
                <w:b/>
                <w:color w:val="000000"/>
                <w:sz w:val="24"/>
                <w:szCs w:val="24"/>
              </w:rPr>
              <w:t xml:space="preserve">Table </w:t>
            </w:r>
            <w:r w:rsidR="0072500D">
              <w:rPr>
                <w:rFonts w:ascii="Arial" w:eastAsia="Times New Roman" w:hAnsi="Arial" w:cs="Arial"/>
                <w:b/>
                <w:color w:val="000000"/>
                <w:sz w:val="24"/>
                <w:szCs w:val="24"/>
              </w:rPr>
              <w:t>2</w:t>
            </w:r>
            <w:r w:rsidRPr="00D40CF6">
              <w:rPr>
                <w:rFonts w:ascii="Arial" w:eastAsia="Times New Roman" w:hAnsi="Arial" w:cs="Arial"/>
                <w:b/>
                <w:color w:val="000000"/>
                <w:sz w:val="24"/>
                <w:szCs w:val="24"/>
              </w:rPr>
              <w:t>: Staff Behavior</w:t>
            </w:r>
            <w:r w:rsidR="00D40CF6" w:rsidRPr="00D40CF6">
              <w:rPr>
                <w:rFonts w:ascii="Arial" w:eastAsia="Times New Roman" w:hAnsi="Arial" w:cs="Arial"/>
                <w:b/>
                <w:color w:val="000000"/>
                <w:sz w:val="24"/>
                <w:szCs w:val="24"/>
              </w:rPr>
              <w:t xml:space="preserve"> 201</w:t>
            </w:r>
            <w:r w:rsidR="00B21889">
              <w:rPr>
                <w:rFonts w:ascii="Arial" w:eastAsia="Times New Roman" w:hAnsi="Arial" w:cs="Arial"/>
                <w:b/>
                <w:color w:val="000000"/>
                <w:sz w:val="24"/>
                <w:szCs w:val="24"/>
              </w:rPr>
              <w:t>6</w:t>
            </w:r>
          </w:p>
        </w:tc>
      </w:tr>
      <w:tr w:rsidR="008B3BB8" w:rsidRPr="00D40CF6" w14:paraId="757F26FF" w14:textId="77777777" w:rsidTr="00B21889">
        <w:trPr>
          <w:trHeight w:val="432"/>
        </w:trPr>
        <w:tc>
          <w:tcPr>
            <w:tcW w:w="6620" w:type="dxa"/>
            <w:tcBorders>
              <w:bottom w:val="single" w:sz="4" w:space="0" w:color="000000" w:themeColor="text1"/>
            </w:tcBorders>
            <w:vAlign w:val="center"/>
          </w:tcPr>
          <w:p w14:paraId="3753B065" w14:textId="77777777" w:rsidR="008B3BB8" w:rsidRPr="00D40CF6" w:rsidRDefault="008B3BB8" w:rsidP="004512D0">
            <w:pPr>
              <w:pStyle w:val="ColorfulList-Accent11"/>
              <w:spacing w:after="0" w:line="360" w:lineRule="auto"/>
              <w:ind w:left="0"/>
              <w:rPr>
                <w:rFonts w:ascii="Arial" w:eastAsia="Times New Roman" w:hAnsi="Arial" w:cs="Arial"/>
                <w:color w:val="000000"/>
                <w:sz w:val="24"/>
                <w:szCs w:val="24"/>
              </w:rPr>
            </w:pPr>
          </w:p>
        </w:tc>
        <w:tc>
          <w:tcPr>
            <w:tcW w:w="2398" w:type="dxa"/>
            <w:vAlign w:val="center"/>
          </w:tcPr>
          <w:p w14:paraId="20A2ECFB" w14:textId="77777777" w:rsidR="008B3BB8" w:rsidRDefault="008B3BB8" w:rsidP="008B3BB8">
            <w:pPr>
              <w:pStyle w:val="ColorfulList-Accent11"/>
              <w:spacing w:after="0" w:line="240" w:lineRule="auto"/>
              <w:ind w:left="0"/>
              <w:jc w:val="center"/>
              <w:rPr>
                <w:rFonts w:ascii="Arial" w:eastAsia="Times New Roman" w:hAnsi="Arial" w:cs="Arial"/>
                <w:b/>
                <w:color w:val="000000"/>
                <w:sz w:val="24"/>
                <w:szCs w:val="24"/>
              </w:rPr>
            </w:pPr>
            <w:r>
              <w:rPr>
                <w:rFonts w:ascii="Arial" w:eastAsia="Times New Roman" w:hAnsi="Arial" w:cs="Arial"/>
                <w:b/>
                <w:color w:val="000000"/>
                <w:sz w:val="24"/>
                <w:szCs w:val="24"/>
              </w:rPr>
              <w:t>Percent</w:t>
            </w:r>
          </w:p>
          <w:p w14:paraId="256A2E4E" w14:textId="77777777" w:rsidR="008B3BB8" w:rsidRPr="00D40CF6" w:rsidRDefault="008B3BB8" w:rsidP="008B3BB8">
            <w:pPr>
              <w:pStyle w:val="ColorfulList-Accent11"/>
              <w:spacing w:after="0" w:line="240" w:lineRule="auto"/>
              <w:ind w:left="0"/>
              <w:jc w:val="center"/>
              <w:rPr>
                <w:rFonts w:ascii="Arial" w:eastAsia="Times New Roman" w:hAnsi="Arial" w:cs="Arial"/>
                <w:b/>
                <w:color w:val="000000"/>
                <w:sz w:val="24"/>
                <w:szCs w:val="24"/>
              </w:rPr>
            </w:pPr>
            <w:r>
              <w:rPr>
                <w:rFonts w:ascii="Arial" w:eastAsia="Times New Roman" w:hAnsi="Arial" w:cs="Arial"/>
                <w:b/>
                <w:color w:val="000000"/>
                <w:sz w:val="24"/>
                <w:szCs w:val="24"/>
              </w:rPr>
              <w:t>Agreement</w:t>
            </w:r>
          </w:p>
        </w:tc>
      </w:tr>
      <w:tr w:rsidR="00F600A3" w:rsidRPr="00D40CF6" w14:paraId="38C02017" w14:textId="77777777" w:rsidTr="008B3BB8">
        <w:trPr>
          <w:trHeight w:val="432"/>
        </w:trPr>
        <w:tc>
          <w:tcPr>
            <w:tcW w:w="6620" w:type="dxa"/>
            <w:vAlign w:val="center"/>
          </w:tcPr>
          <w:p w14:paraId="2A07FB7A"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are courteous</w:t>
            </w:r>
          </w:p>
        </w:tc>
        <w:tc>
          <w:tcPr>
            <w:tcW w:w="2398" w:type="dxa"/>
            <w:vAlign w:val="center"/>
          </w:tcPr>
          <w:p w14:paraId="0F472E19" w14:textId="49D17F31" w:rsidR="00F600A3" w:rsidRPr="00D40CF6" w:rsidRDefault="00F600A3" w:rsidP="00B21889">
            <w:pPr>
              <w:pStyle w:val="ColorfulList-Accent11"/>
              <w:spacing w:after="0" w:line="360" w:lineRule="auto"/>
              <w:ind w:left="0"/>
              <w:jc w:val="center"/>
              <w:rPr>
                <w:rFonts w:ascii="Arial" w:eastAsia="Times New Roman" w:hAnsi="Arial" w:cs="Arial"/>
                <w:color w:val="000000"/>
                <w:sz w:val="24"/>
                <w:szCs w:val="24"/>
              </w:rPr>
            </w:pPr>
            <w:r w:rsidRPr="00D40CF6">
              <w:rPr>
                <w:rFonts w:ascii="Arial" w:eastAsia="Times New Roman" w:hAnsi="Arial" w:cs="Arial"/>
                <w:b/>
                <w:color w:val="000000"/>
                <w:sz w:val="24"/>
                <w:szCs w:val="24"/>
              </w:rPr>
              <w:t>9</w:t>
            </w:r>
            <w:r w:rsidR="00D72018">
              <w:rPr>
                <w:rFonts w:ascii="Arial" w:eastAsia="Times New Roman" w:hAnsi="Arial" w:cs="Arial"/>
                <w:b/>
                <w:color w:val="000000"/>
                <w:sz w:val="24"/>
                <w:szCs w:val="24"/>
              </w:rPr>
              <w:t>9</w:t>
            </w:r>
            <w:r w:rsidRPr="00D40CF6">
              <w:rPr>
                <w:rFonts w:ascii="Arial" w:eastAsia="Times New Roman" w:hAnsi="Arial" w:cs="Arial"/>
                <w:b/>
                <w:color w:val="000000"/>
                <w:sz w:val="24"/>
                <w:szCs w:val="24"/>
              </w:rPr>
              <w:t>%</w:t>
            </w:r>
            <w:r w:rsidR="008B3BB8">
              <w:rPr>
                <w:rFonts w:ascii="Arial" w:eastAsia="Times New Roman" w:hAnsi="Arial" w:cs="Arial"/>
                <w:b/>
                <w:color w:val="000000"/>
                <w:sz w:val="24"/>
                <w:szCs w:val="24"/>
              </w:rPr>
              <w:t xml:space="preserve"> </w:t>
            </w:r>
            <w:r w:rsidRPr="00D40CF6">
              <w:rPr>
                <w:rFonts w:ascii="Arial" w:eastAsia="Times New Roman" w:hAnsi="Arial" w:cs="Arial"/>
                <w:color w:val="000000"/>
                <w:sz w:val="24"/>
                <w:szCs w:val="24"/>
              </w:rPr>
              <w:t>(n=7</w:t>
            </w:r>
            <w:r w:rsidR="00D72018">
              <w:rPr>
                <w:rFonts w:ascii="Arial" w:eastAsia="Times New Roman" w:hAnsi="Arial" w:cs="Arial"/>
                <w:color w:val="000000"/>
                <w:sz w:val="24"/>
                <w:szCs w:val="24"/>
              </w:rPr>
              <w:t>8</w:t>
            </w:r>
            <w:r w:rsidRPr="00D40CF6">
              <w:rPr>
                <w:rFonts w:ascii="Arial" w:eastAsia="Times New Roman" w:hAnsi="Arial" w:cs="Arial"/>
                <w:color w:val="000000"/>
                <w:sz w:val="24"/>
                <w:szCs w:val="24"/>
              </w:rPr>
              <w:t>)</w:t>
            </w:r>
          </w:p>
        </w:tc>
      </w:tr>
      <w:tr w:rsidR="00F600A3" w:rsidRPr="00D40CF6" w14:paraId="3ECB577B" w14:textId="77777777" w:rsidTr="008B3BB8">
        <w:trPr>
          <w:trHeight w:val="432"/>
        </w:trPr>
        <w:tc>
          <w:tcPr>
            <w:tcW w:w="6620" w:type="dxa"/>
            <w:vAlign w:val="center"/>
          </w:tcPr>
          <w:p w14:paraId="3D9BF63C"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are helpful</w:t>
            </w:r>
          </w:p>
        </w:tc>
        <w:tc>
          <w:tcPr>
            <w:tcW w:w="2398" w:type="dxa"/>
            <w:vAlign w:val="center"/>
          </w:tcPr>
          <w:p w14:paraId="23423A82" w14:textId="05094835" w:rsidR="00F600A3" w:rsidRPr="00D40CF6" w:rsidRDefault="00F600A3" w:rsidP="00B21889">
            <w:pPr>
              <w:pStyle w:val="ColorfulList-Accent11"/>
              <w:spacing w:after="0" w:line="360" w:lineRule="auto"/>
              <w:ind w:left="0"/>
              <w:jc w:val="center"/>
              <w:rPr>
                <w:rFonts w:ascii="Arial" w:eastAsia="Times New Roman" w:hAnsi="Arial" w:cs="Arial"/>
                <w:color w:val="000000"/>
                <w:sz w:val="24"/>
                <w:szCs w:val="24"/>
              </w:rPr>
            </w:pPr>
            <w:r w:rsidRPr="00D40CF6">
              <w:rPr>
                <w:rFonts w:ascii="Arial" w:eastAsia="Times New Roman" w:hAnsi="Arial" w:cs="Arial"/>
                <w:b/>
                <w:color w:val="000000"/>
                <w:sz w:val="24"/>
                <w:szCs w:val="24"/>
              </w:rPr>
              <w:t>97%</w:t>
            </w:r>
            <w:r w:rsidR="008B3BB8">
              <w:rPr>
                <w:rFonts w:ascii="Arial" w:eastAsia="Times New Roman" w:hAnsi="Arial" w:cs="Arial"/>
                <w:b/>
                <w:color w:val="000000"/>
                <w:sz w:val="24"/>
                <w:szCs w:val="24"/>
              </w:rPr>
              <w:t xml:space="preserve"> </w:t>
            </w:r>
            <w:r w:rsidRPr="00D40CF6">
              <w:rPr>
                <w:rFonts w:ascii="Arial" w:eastAsia="Times New Roman" w:hAnsi="Arial" w:cs="Arial"/>
                <w:color w:val="000000"/>
                <w:sz w:val="24"/>
                <w:szCs w:val="24"/>
              </w:rPr>
              <w:t>(n=7</w:t>
            </w:r>
            <w:r w:rsidR="00D72018">
              <w:rPr>
                <w:rFonts w:ascii="Arial" w:eastAsia="Times New Roman" w:hAnsi="Arial" w:cs="Arial"/>
                <w:color w:val="000000"/>
                <w:sz w:val="24"/>
                <w:szCs w:val="24"/>
              </w:rPr>
              <w:t>8</w:t>
            </w:r>
            <w:r w:rsidRPr="00D40CF6">
              <w:rPr>
                <w:rFonts w:ascii="Arial" w:eastAsia="Times New Roman" w:hAnsi="Arial" w:cs="Arial"/>
                <w:color w:val="000000"/>
                <w:sz w:val="24"/>
                <w:szCs w:val="24"/>
              </w:rPr>
              <w:t>)</w:t>
            </w:r>
          </w:p>
        </w:tc>
      </w:tr>
      <w:tr w:rsidR="00F600A3" w:rsidRPr="00D40CF6" w14:paraId="09AD5CC3" w14:textId="77777777" w:rsidTr="008B3BB8">
        <w:trPr>
          <w:trHeight w:val="432"/>
        </w:trPr>
        <w:tc>
          <w:tcPr>
            <w:tcW w:w="6620" w:type="dxa"/>
            <w:vAlign w:val="center"/>
          </w:tcPr>
          <w:p w14:paraId="19E7E3C0"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are professional</w:t>
            </w:r>
          </w:p>
        </w:tc>
        <w:tc>
          <w:tcPr>
            <w:tcW w:w="2398" w:type="dxa"/>
            <w:vAlign w:val="center"/>
          </w:tcPr>
          <w:p w14:paraId="7018FCF6" w14:textId="77777777" w:rsidR="00F600A3" w:rsidRPr="00D40CF6" w:rsidRDefault="00F600A3" w:rsidP="008B3BB8">
            <w:pPr>
              <w:pStyle w:val="ColorfulList-Accent11"/>
              <w:spacing w:after="0" w:line="360" w:lineRule="auto"/>
              <w:ind w:left="0"/>
              <w:jc w:val="center"/>
              <w:rPr>
                <w:rFonts w:ascii="Arial" w:eastAsia="Times New Roman" w:hAnsi="Arial" w:cs="Arial"/>
                <w:color w:val="000000"/>
                <w:sz w:val="24"/>
                <w:szCs w:val="24"/>
              </w:rPr>
            </w:pPr>
            <w:r w:rsidRPr="00D40CF6">
              <w:rPr>
                <w:rFonts w:ascii="Arial" w:eastAsia="Times New Roman" w:hAnsi="Arial" w:cs="Arial"/>
                <w:b/>
                <w:color w:val="000000"/>
                <w:sz w:val="24"/>
                <w:szCs w:val="24"/>
              </w:rPr>
              <w:t>97%</w:t>
            </w:r>
            <w:r w:rsidR="008B3BB8">
              <w:rPr>
                <w:rFonts w:ascii="Arial" w:eastAsia="Times New Roman" w:hAnsi="Arial" w:cs="Arial"/>
                <w:b/>
                <w:color w:val="000000"/>
                <w:sz w:val="24"/>
                <w:szCs w:val="24"/>
              </w:rPr>
              <w:t xml:space="preserve"> </w:t>
            </w:r>
            <w:r w:rsidRPr="00D40CF6">
              <w:rPr>
                <w:rFonts w:ascii="Arial" w:eastAsia="Times New Roman" w:hAnsi="Arial" w:cs="Arial"/>
                <w:color w:val="000000"/>
                <w:sz w:val="24"/>
                <w:szCs w:val="24"/>
              </w:rPr>
              <w:t>(n=76)</w:t>
            </w:r>
          </w:p>
        </w:tc>
      </w:tr>
      <w:tr w:rsidR="00F600A3" w:rsidRPr="00D40CF6" w14:paraId="2866C8C8" w14:textId="77777777" w:rsidTr="008B3BB8">
        <w:trPr>
          <w:trHeight w:val="432"/>
        </w:trPr>
        <w:tc>
          <w:tcPr>
            <w:tcW w:w="6620" w:type="dxa"/>
            <w:tcBorders>
              <w:bottom w:val="single" w:sz="4" w:space="0" w:color="000000" w:themeColor="text1"/>
            </w:tcBorders>
            <w:vAlign w:val="center"/>
          </w:tcPr>
          <w:p w14:paraId="5ACC4DD3"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seek appropriate community/family input</w:t>
            </w:r>
          </w:p>
        </w:tc>
        <w:tc>
          <w:tcPr>
            <w:tcW w:w="2398" w:type="dxa"/>
            <w:tcBorders>
              <w:bottom w:val="single" w:sz="4" w:space="0" w:color="000000" w:themeColor="text1"/>
            </w:tcBorders>
            <w:vAlign w:val="center"/>
          </w:tcPr>
          <w:p w14:paraId="6AD27F33" w14:textId="06586BCB" w:rsidR="00F600A3" w:rsidRPr="00D40CF6" w:rsidRDefault="00F600A3" w:rsidP="00B21889">
            <w:pPr>
              <w:pStyle w:val="ColorfulList-Accent11"/>
              <w:spacing w:after="0" w:line="360" w:lineRule="auto"/>
              <w:ind w:left="0"/>
              <w:jc w:val="center"/>
              <w:rPr>
                <w:rFonts w:ascii="Arial" w:eastAsia="Times New Roman" w:hAnsi="Arial" w:cs="Arial"/>
                <w:color w:val="000000"/>
                <w:sz w:val="24"/>
                <w:szCs w:val="24"/>
              </w:rPr>
            </w:pPr>
            <w:r w:rsidRPr="00D40CF6">
              <w:rPr>
                <w:rFonts w:ascii="Arial" w:eastAsia="Times New Roman" w:hAnsi="Arial" w:cs="Arial"/>
                <w:b/>
                <w:color w:val="000000"/>
                <w:sz w:val="24"/>
                <w:szCs w:val="24"/>
              </w:rPr>
              <w:t>9</w:t>
            </w:r>
            <w:r w:rsidR="00D72018">
              <w:rPr>
                <w:rFonts w:ascii="Arial" w:eastAsia="Times New Roman" w:hAnsi="Arial" w:cs="Arial"/>
                <w:b/>
                <w:color w:val="000000"/>
                <w:sz w:val="24"/>
                <w:szCs w:val="24"/>
              </w:rPr>
              <w:t>6</w:t>
            </w:r>
            <w:r w:rsidRPr="00D40CF6">
              <w:rPr>
                <w:rFonts w:ascii="Arial" w:eastAsia="Times New Roman" w:hAnsi="Arial" w:cs="Arial"/>
                <w:b/>
                <w:color w:val="000000"/>
                <w:sz w:val="24"/>
                <w:szCs w:val="24"/>
              </w:rPr>
              <w:t>%</w:t>
            </w:r>
            <w:r w:rsidR="008B3BB8">
              <w:rPr>
                <w:rFonts w:ascii="Arial" w:eastAsia="Times New Roman" w:hAnsi="Arial" w:cs="Arial"/>
                <w:b/>
                <w:color w:val="000000"/>
                <w:sz w:val="24"/>
                <w:szCs w:val="24"/>
              </w:rPr>
              <w:t xml:space="preserve"> </w:t>
            </w:r>
            <w:r w:rsidRPr="00D40CF6">
              <w:rPr>
                <w:rFonts w:ascii="Arial" w:eastAsia="Times New Roman" w:hAnsi="Arial" w:cs="Arial"/>
                <w:color w:val="000000"/>
                <w:sz w:val="24"/>
                <w:szCs w:val="24"/>
              </w:rPr>
              <w:t>(n=6</w:t>
            </w:r>
            <w:r w:rsidR="00D72018">
              <w:rPr>
                <w:rFonts w:ascii="Arial" w:eastAsia="Times New Roman" w:hAnsi="Arial" w:cs="Arial"/>
                <w:color w:val="000000"/>
                <w:sz w:val="24"/>
                <w:szCs w:val="24"/>
              </w:rPr>
              <w:t>9</w:t>
            </w:r>
            <w:r w:rsidRPr="00D40CF6">
              <w:rPr>
                <w:rFonts w:ascii="Arial" w:eastAsia="Times New Roman" w:hAnsi="Arial" w:cs="Arial"/>
                <w:color w:val="000000"/>
                <w:sz w:val="24"/>
                <w:szCs w:val="24"/>
              </w:rPr>
              <w:t>)</w:t>
            </w:r>
          </w:p>
        </w:tc>
      </w:tr>
      <w:tr w:rsidR="00F600A3" w:rsidRPr="00D40CF6" w14:paraId="6BCD06FB" w14:textId="77777777" w:rsidTr="008B3BB8">
        <w:trPr>
          <w:trHeight w:val="432"/>
        </w:trPr>
        <w:tc>
          <w:tcPr>
            <w:tcW w:w="6620" w:type="dxa"/>
            <w:shd w:val="clear" w:color="auto" w:fill="auto"/>
            <w:vAlign w:val="center"/>
          </w:tcPr>
          <w:p w14:paraId="0A3160E0"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return my calls within 24 hours</w:t>
            </w:r>
          </w:p>
        </w:tc>
        <w:tc>
          <w:tcPr>
            <w:tcW w:w="2398" w:type="dxa"/>
            <w:shd w:val="clear" w:color="auto" w:fill="auto"/>
            <w:vAlign w:val="center"/>
          </w:tcPr>
          <w:p w14:paraId="235E180A" w14:textId="1A505E5E" w:rsidR="00F600A3" w:rsidRPr="00D40CF6" w:rsidRDefault="00F600A3" w:rsidP="00B21889">
            <w:pPr>
              <w:pStyle w:val="ColorfulList-Accent11"/>
              <w:spacing w:after="0" w:line="360" w:lineRule="auto"/>
              <w:ind w:left="0"/>
              <w:jc w:val="center"/>
              <w:rPr>
                <w:rFonts w:ascii="Arial" w:eastAsia="Times New Roman" w:hAnsi="Arial" w:cs="Arial"/>
                <w:color w:val="000000"/>
                <w:sz w:val="24"/>
                <w:szCs w:val="24"/>
              </w:rPr>
            </w:pPr>
            <w:r w:rsidRPr="00D40CF6">
              <w:rPr>
                <w:rFonts w:ascii="Arial" w:eastAsia="Times New Roman" w:hAnsi="Arial" w:cs="Arial"/>
                <w:b/>
                <w:color w:val="000000"/>
                <w:sz w:val="24"/>
                <w:szCs w:val="24"/>
              </w:rPr>
              <w:t>8</w:t>
            </w:r>
            <w:r w:rsidR="00D72018">
              <w:rPr>
                <w:rFonts w:ascii="Arial" w:eastAsia="Times New Roman" w:hAnsi="Arial" w:cs="Arial"/>
                <w:b/>
                <w:color w:val="000000"/>
                <w:sz w:val="24"/>
                <w:szCs w:val="24"/>
              </w:rPr>
              <w:t>6</w:t>
            </w:r>
            <w:r w:rsidRPr="00D40CF6">
              <w:rPr>
                <w:rFonts w:ascii="Arial" w:eastAsia="Times New Roman" w:hAnsi="Arial" w:cs="Arial"/>
                <w:b/>
                <w:color w:val="000000"/>
                <w:sz w:val="24"/>
                <w:szCs w:val="24"/>
              </w:rPr>
              <w:t>%</w:t>
            </w:r>
            <w:r w:rsidR="008B3BB8">
              <w:rPr>
                <w:rFonts w:ascii="Arial" w:eastAsia="Times New Roman" w:hAnsi="Arial" w:cs="Arial"/>
                <w:b/>
                <w:color w:val="000000"/>
                <w:sz w:val="24"/>
                <w:szCs w:val="24"/>
              </w:rPr>
              <w:t xml:space="preserve"> </w:t>
            </w:r>
            <w:r w:rsidRPr="00D40CF6">
              <w:rPr>
                <w:rFonts w:ascii="Arial" w:eastAsia="Times New Roman" w:hAnsi="Arial" w:cs="Arial"/>
                <w:color w:val="000000"/>
                <w:sz w:val="24"/>
                <w:szCs w:val="24"/>
              </w:rPr>
              <w:t>(n=</w:t>
            </w:r>
            <w:r w:rsidR="00D72018">
              <w:rPr>
                <w:rFonts w:ascii="Arial" w:eastAsia="Times New Roman" w:hAnsi="Arial" w:cs="Arial"/>
                <w:color w:val="000000"/>
                <w:sz w:val="24"/>
                <w:szCs w:val="24"/>
              </w:rPr>
              <w:t>71</w:t>
            </w:r>
            <w:r w:rsidRPr="00D40CF6">
              <w:rPr>
                <w:rFonts w:ascii="Arial" w:eastAsia="Times New Roman" w:hAnsi="Arial" w:cs="Arial"/>
                <w:color w:val="000000"/>
                <w:sz w:val="24"/>
                <w:szCs w:val="24"/>
              </w:rPr>
              <w:t>)</w:t>
            </w:r>
          </w:p>
        </w:tc>
      </w:tr>
      <w:tr w:rsidR="00F600A3" w:rsidRPr="00D40CF6" w14:paraId="6BD9FE51" w14:textId="77777777" w:rsidTr="008B3BB8">
        <w:trPr>
          <w:trHeight w:val="432"/>
        </w:trPr>
        <w:tc>
          <w:tcPr>
            <w:tcW w:w="6620" w:type="dxa"/>
            <w:shd w:val="clear" w:color="auto" w:fill="auto"/>
            <w:vAlign w:val="center"/>
          </w:tcPr>
          <w:p w14:paraId="3391B2BC" w14:textId="77777777" w:rsidR="00F600A3" w:rsidRPr="00D40CF6" w:rsidRDefault="00F600A3" w:rsidP="004512D0">
            <w:pPr>
              <w:pStyle w:val="ColorfulList-Accent11"/>
              <w:spacing w:after="0" w:line="360" w:lineRule="auto"/>
              <w:ind w:left="0"/>
              <w:rPr>
                <w:rFonts w:ascii="Arial" w:eastAsia="Times New Roman" w:hAnsi="Arial" w:cs="Arial"/>
                <w:color w:val="000000"/>
                <w:sz w:val="24"/>
                <w:szCs w:val="24"/>
              </w:rPr>
            </w:pPr>
            <w:r w:rsidRPr="00D40CF6">
              <w:rPr>
                <w:rFonts w:ascii="Arial" w:eastAsia="Times New Roman" w:hAnsi="Arial" w:cs="Arial"/>
                <w:color w:val="000000"/>
                <w:sz w:val="24"/>
                <w:szCs w:val="24"/>
              </w:rPr>
              <w:t>Staff are responsive to various cultural backgrounds</w:t>
            </w:r>
          </w:p>
        </w:tc>
        <w:tc>
          <w:tcPr>
            <w:tcW w:w="2398" w:type="dxa"/>
            <w:shd w:val="clear" w:color="auto" w:fill="auto"/>
            <w:vAlign w:val="center"/>
          </w:tcPr>
          <w:p w14:paraId="7782B155" w14:textId="5AE2F715" w:rsidR="00F600A3" w:rsidRPr="00D40CF6" w:rsidRDefault="00D72018" w:rsidP="00B21889">
            <w:pPr>
              <w:pStyle w:val="ColorfulList-Accent11"/>
              <w:spacing w:after="0" w:line="360" w:lineRule="auto"/>
              <w:ind w:left="0"/>
              <w:jc w:val="center"/>
              <w:rPr>
                <w:rFonts w:ascii="Arial" w:eastAsia="Times New Roman" w:hAnsi="Arial" w:cs="Arial"/>
                <w:color w:val="000000"/>
                <w:sz w:val="24"/>
                <w:szCs w:val="24"/>
              </w:rPr>
            </w:pPr>
            <w:r>
              <w:rPr>
                <w:rFonts w:ascii="Arial" w:eastAsia="Times New Roman" w:hAnsi="Arial" w:cs="Arial"/>
                <w:b/>
                <w:color w:val="000000"/>
                <w:sz w:val="24"/>
                <w:szCs w:val="24"/>
              </w:rPr>
              <w:t>96</w:t>
            </w:r>
            <w:r w:rsidR="00F600A3" w:rsidRPr="00D40CF6">
              <w:rPr>
                <w:rFonts w:ascii="Arial" w:eastAsia="Times New Roman" w:hAnsi="Arial" w:cs="Arial"/>
                <w:b/>
                <w:color w:val="000000"/>
                <w:sz w:val="24"/>
                <w:szCs w:val="24"/>
              </w:rPr>
              <w:t>%</w:t>
            </w:r>
            <w:r w:rsidR="008B3BB8">
              <w:rPr>
                <w:rFonts w:ascii="Arial" w:eastAsia="Times New Roman" w:hAnsi="Arial" w:cs="Arial"/>
                <w:b/>
                <w:color w:val="000000"/>
                <w:sz w:val="24"/>
                <w:szCs w:val="24"/>
              </w:rPr>
              <w:t xml:space="preserve"> </w:t>
            </w:r>
            <w:r w:rsidR="00F600A3" w:rsidRPr="00D40CF6">
              <w:rPr>
                <w:rFonts w:ascii="Arial" w:eastAsia="Times New Roman" w:hAnsi="Arial" w:cs="Arial"/>
                <w:color w:val="000000"/>
                <w:sz w:val="24"/>
                <w:szCs w:val="24"/>
              </w:rPr>
              <w:t>(n=</w:t>
            </w:r>
            <w:r>
              <w:rPr>
                <w:rFonts w:ascii="Arial" w:eastAsia="Times New Roman" w:hAnsi="Arial" w:cs="Arial"/>
                <w:color w:val="000000"/>
                <w:sz w:val="24"/>
                <w:szCs w:val="24"/>
              </w:rPr>
              <w:t>68</w:t>
            </w:r>
            <w:r w:rsidR="00F600A3" w:rsidRPr="00D40CF6">
              <w:rPr>
                <w:rFonts w:ascii="Arial" w:eastAsia="Times New Roman" w:hAnsi="Arial" w:cs="Arial"/>
                <w:color w:val="000000"/>
                <w:sz w:val="24"/>
                <w:szCs w:val="24"/>
              </w:rPr>
              <w:t>)</w:t>
            </w:r>
          </w:p>
        </w:tc>
      </w:tr>
    </w:tbl>
    <w:p w14:paraId="24FE4DC2" w14:textId="77777777" w:rsidR="008B3BB8" w:rsidRDefault="008B3BB8" w:rsidP="00F600A3">
      <w:pPr>
        <w:pStyle w:val="ColorfulList-Accent11"/>
        <w:spacing w:after="0" w:line="360" w:lineRule="auto"/>
        <w:ind w:left="0"/>
        <w:rPr>
          <w:rFonts w:ascii="Arial" w:eastAsia="Times New Roman" w:hAnsi="Arial" w:cs="Arial"/>
          <w:color w:val="000000"/>
          <w:sz w:val="24"/>
          <w:szCs w:val="24"/>
        </w:rPr>
      </w:pPr>
    </w:p>
    <w:p w14:paraId="2EBBAD27" w14:textId="77777777" w:rsidR="00FB22FB" w:rsidRPr="007C68D9" w:rsidRDefault="007D1DAB" w:rsidP="00E228DC">
      <w:pPr>
        <w:pStyle w:val="ColorfulList-Accent11"/>
        <w:spacing w:after="0" w:line="360" w:lineRule="auto"/>
        <w:ind w:left="0"/>
        <w:rPr>
          <w:rFonts w:ascii="Arial" w:eastAsia="Times New Roman" w:hAnsi="Arial" w:cs="Arial"/>
          <w:b/>
          <w:color w:val="000000"/>
          <w:sz w:val="24"/>
          <w:szCs w:val="24"/>
          <w:u w:val="single"/>
        </w:rPr>
      </w:pPr>
      <w:r w:rsidRPr="00D40CF6">
        <w:rPr>
          <w:rFonts w:ascii="Arial" w:eastAsia="Times New Roman" w:hAnsi="Arial" w:cs="Arial"/>
          <w:vanish/>
          <w:color w:val="000000"/>
          <w:sz w:val="24"/>
          <w:szCs w:val="24"/>
        </w:rPr>
        <w:cr/>
        <w:t>this yearthe statement Region Ten provides a caring environment had the largest decrease in agreement from the 2012 survey</w:t>
      </w:r>
      <w:r w:rsidRPr="00D40CF6">
        <w:rPr>
          <w:rFonts w:ascii="Arial" w:eastAsia="Times New Roman" w:hAnsi="Arial" w:cs="Arial"/>
          <w:vanish/>
          <w:color w:val="000000"/>
          <w:sz w:val="24"/>
          <w:szCs w:val="24"/>
        </w:rPr>
        <w:pgNum/>
      </w:r>
      <w:r w:rsidRPr="00D40CF6">
        <w:rPr>
          <w:rFonts w:ascii="Arial" w:eastAsia="Times New Roman" w:hAnsi="Arial" w:cs="Arial"/>
          <w:vanish/>
          <w:color w:val="000000"/>
          <w:sz w:val="24"/>
          <w:szCs w:val="24"/>
        </w:rPr>
        <w:pgNum/>
      </w:r>
      <w:r w:rsidRPr="00D40CF6">
        <w:rPr>
          <w:rFonts w:ascii="Arial" w:eastAsia="Times New Roman" w:hAnsi="Arial" w:cs="Arial"/>
          <w:vanish/>
          <w:color w:val="000000"/>
          <w:sz w:val="24"/>
          <w:szCs w:val="24"/>
        </w:rPr>
        <w:pgNum/>
      </w:r>
      <w:r w:rsidRPr="00D40CF6">
        <w:rPr>
          <w:rFonts w:ascii="Arial" w:eastAsia="Times New Roman" w:hAnsi="Arial" w:cs="Arial"/>
          <w:vanish/>
          <w:color w:val="000000"/>
          <w:sz w:val="24"/>
          <w:szCs w:val="24"/>
        </w:rPr>
        <w:pgNum/>
      </w:r>
      <w:r w:rsidRPr="00D40CF6">
        <w:rPr>
          <w:rFonts w:ascii="Arial" w:eastAsia="Times New Roman" w:hAnsi="Arial" w:cs="Arial"/>
          <w:vanish/>
          <w:color w:val="000000"/>
          <w:sz w:val="24"/>
          <w:szCs w:val="24"/>
        </w:rPr>
        <w:pgNum/>
      </w:r>
      <w:r w:rsidR="00082996" w:rsidRPr="00D40CF6">
        <w:rPr>
          <w:rFonts w:ascii="Arial" w:eastAsia="Times New Roman" w:hAnsi="Arial" w:cs="Arial"/>
          <w:b/>
          <w:color w:val="000000"/>
          <w:sz w:val="24"/>
          <w:szCs w:val="24"/>
          <w:u w:val="single"/>
        </w:rPr>
        <w:t>Conclusions</w:t>
      </w:r>
      <w:r w:rsidR="00971360" w:rsidRPr="00D40CF6">
        <w:rPr>
          <w:rFonts w:ascii="Arial" w:eastAsia="Times New Roman" w:hAnsi="Arial" w:cs="Arial"/>
          <w:color w:val="FF0000"/>
          <w:sz w:val="24"/>
          <w:szCs w:val="24"/>
        </w:rPr>
        <w:t xml:space="preserve"> </w:t>
      </w:r>
    </w:p>
    <w:p w14:paraId="70EE7919" w14:textId="77777777" w:rsidR="00645B0C" w:rsidRPr="00D40CF6" w:rsidRDefault="00645B0C" w:rsidP="00E228DC">
      <w:pPr>
        <w:pStyle w:val="ColorfulList-Accent11"/>
        <w:spacing w:after="0" w:line="360" w:lineRule="auto"/>
        <w:ind w:left="0"/>
        <w:rPr>
          <w:rFonts w:ascii="Arial" w:eastAsia="Times New Roman" w:hAnsi="Arial" w:cs="Arial"/>
          <w:b/>
          <w:color w:val="000000"/>
          <w:sz w:val="24"/>
          <w:szCs w:val="24"/>
          <w:u w:val="single"/>
        </w:rPr>
      </w:pPr>
    </w:p>
    <w:p w14:paraId="07A89C50" w14:textId="77777777" w:rsidR="00057638" w:rsidRPr="00D40CF6" w:rsidRDefault="00057638" w:rsidP="0097577A">
      <w:pPr>
        <w:pStyle w:val="ColorfulList-Accent11"/>
        <w:spacing w:after="0" w:line="360" w:lineRule="auto"/>
        <w:ind w:left="0"/>
        <w:rPr>
          <w:rFonts w:ascii="Arial" w:hAnsi="Arial" w:cs="Arial"/>
          <w:sz w:val="24"/>
          <w:szCs w:val="24"/>
        </w:rPr>
      </w:pPr>
      <w:r w:rsidRPr="00D40CF6">
        <w:rPr>
          <w:rFonts w:ascii="Arial" w:hAnsi="Arial" w:cs="Arial"/>
          <w:sz w:val="24"/>
          <w:szCs w:val="24"/>
        </w:rPr>
        <w:tab/>
      </w:r>
      <w:r w:rsidR="007C68D9">
        <w:rPr>
          <w:rFonts w:ascii="Arial" w:hAnsi="Arial" w:cs="Arial"/>
          <w:sz w:val="24"/>
          <w:szCs w:val="24"/>
        </w:rPr>
        <w:t>The 2016</w:t>
      </w:r>
      <w:r w:rsidRPr="00D40CF6">
        <w:rPr>
          <w:rFonts w:ascii="Arial" w:hAnsi="Arial" w:cs="Arial"/>
          <w:sz w:val="24"/>
          <w:szCs w:val="24"/>
        </w:rPr>
        <w:t xml:space="preserve"> Region Ten Stakeholder survey suggests strong </w:t>
      </w:r>
      <w:r w:rsidR="00CE590A">
        <w:rPr>
          <w:rFonts w:ascii="Arial" w:hAnsi="Arial" w:cs="Arial"/>
          <w:sz w:val="24"/>
          <w:szCs w:val="24"/>
        </w:rPr>
        <w:t xml:space="preserve">existing </w:t>
      </w:r>
      <w:r w:rsidRPr="00D40CF6">
        <w:rPr>
          <w:rFonts w:ascii="Arial" w:hAnsi="Arial" w:cs="Arial"/>
          <w:sz w:val="24"/>
          <w:szCs w:val="24"/>
        </w:rPr>
        <w:t>relationships with community stakeholders.</w:t>
      </w:r>
      <w:r w:rsidR="003115BE">
        <w:rPr>
          <w:rFonts w:ascii="Arial" w:hAnsi="Arial" w:cs="Arial"/>
          <w:sz w:val="24"/>
          <w:szCs w:val="24"/>
        </w:rPr>
        <w:t xml:space="preserve">  After many years of small changes to the questionnaire, it is time to consider </w:t>
      </w:r>
      <w:r w:rsidR="007C68D9">
        <w:rPr>
          <w:rFonts w:ascii="Arial" w:hAnsi="Arial" w:cs="Arial"/>
          <w:sz w:val="24"/>
          <w:szCs w:val="24"/>
        </w:rPr>
        <w:t>focusing on areas of improvement and better ways</w:t>
      </w:r>
      <w:r w:rsidR="008B3BB8">
        <w:rPr>
          <w:rFonts w:ascii="Arial" w:hAnsi="Arial" w:cs="Arial"/>
          <w:sz w:val="24"/>
          <w:szCs w:val="24"/>
        </w:rPr>
        <w:t xml:space="preserve"> of reaching stakeholders</w:t>
      </w:r>
      <w:r w:rsidR="003115BE">
        <w:rPr>
          <w:rFonts w:ascii="Arial" w:hAnsi="Arial" w:cs="Arial"/>
          <w:sz w:val="24"/>
          <w:szCs w:val="24"/>
        </w:rPr>
        <w:t xml:space="preserve"> and </w:t>
      </w:r>
      <w:r w:rsidR="0097323C">
        <w:rPr>
          <w:rFonts w:ascii="Arial" w:hAnsi="Arial" w:cs="Arial"/>
          <w:sz w:val="24"/>
          <w:szCs w:val="24"/>
        </w:rPr>
        <w:t xml:space="preserve">other </w:t>
      </w:r>
      <w:r w:rsidR="003115BE">
        <w:rPr>
          <w:rFonts w:ascii="Arial" w:hAnsi="Arial" w:cs="Arial"/>
          <w:sz w:val="24"/>
          <w:szCs w:val="24"/>
        </w:rPr>
        <w:t>types of information useful to Region Ten decision makers.</w:t>
      </w:r>
    </w:p>
    <w:p w14:paraId="6A814FA6" w14:textId="77777777" w:rsidR="00C44D15" w:rsidRPr="00D40CF6" w:rsidRDefault="00C44D15" w:rsidP="0097577A">
      <w:pPr>
        <w:pStyle w:val="ColorfulList-Accent11"/>
        <w:spacing w:after="0" w:line="360" w:lineRule="auto"/>
        <w:ind w:left="0"/>
        <w:rPr>
          <w:rFonts w:ascii="Arial" w:hAnsi="Arial" w:cs="Arial"/>
          <w:sz w:val="24"/>
          <w:szCs w:val="24"/>
        </w:rPr>
      </w:pPr>
    </w:p>
    <w:p w14:paraId="7DD9820C" w14:textId="77777777" w:rsidR="0097577A" w:rsidRPr="0010192F" w:rsidRDefault="0097577A" w:rsidP="0010192F">
      <w:pPr>
        <w:pStyle w:val="ColorfulList-Accent11"/>
        <w:spacing w:after="0" w:line="360" w:lineRule="auto"/>
        <w:ind w:left="0"/>
        <w:rPr>
          <w:rFonts w:ascii="Arial" w:eastAsia="Times New Roman" w:hAnsi="Arial" w:cs="Arial"/>
          <w:b/>
          <w:color w:val="000000"/>
          <w:sz w:val="24"/>
          <w:szCs w:val="24"/>
          <w:u w:val="single"/>
        </w:rPr>
      </w:pPr>
      <w:r w:rsidRPr="00D40CF6">
        <w:rPr>
          <w:rFonts w:ascii="Arial" w:eastAsia="Times New Roman" w:hAnsi="Arial" w:cs="Arial"/>
          <w:b/>
          <w:color w:val="000000"/>
          <w:sz w:val="24"/>
          <w:szCs w:val="24"/>
          <w:u w:val="single"/>
        </w:rPr>
        <w:lastRenderedPageBreak/>
        <w:t>Recommendations</w:t>
      </w:r>
      <w:r w:rsidR="0010192F">
        <w:rPr>
          <w:rFonts w:ascii="Arial" w:eastAsia="Times New Roman" w:hAnsi="Arial" w:cs="Arial"/>
          <w:b/>
          <w:color w:val="000000"/>
          <w:sz w:val="24"/>
          <w:szCs w:val="24"/>
          <w:u w:val="single"/>
        </w:rPr>
        <w:t xml:space="preserve"> for Region Ten Policies and Procedures:</w:t>
      </w:r>
    </w:p>
    <w:p w14:paraId="1C5EF209" w14:textId="77777777" w:rsidR="007C1E68" w:rsidRPr="00645B0C" w:rsidRDefault="00057638" w:rsidP="00C44D15">
      <w:pPr>
        <w:pStyle w:val="ColorfulList-Accent11"/>
        <w:numPr>
          <w:ilvl w:val="0"/>
          <w:numId w:val="8"/>
        </w:numPr>
        <w:spacing w:after="0" w:line="360" w:lineRule="auto"/>
        <w:ind w:left="360"/>
        <w:rPr>
          <w:rFonts w:ascii="Arial" w:eastAsia="Times New Roman" w:hAnsi="Arial" w:cs="Arial"/>
          <w:color w:val="000000"/>
          <w:sz w:val="24"/>
          <w:szCs w:val="24"/>
        </w:rPr>
      </w:pPr>
      <w:r w:rsidRPr="00D40CF6">
        <w:rPr>
          <w:rFonts w:ascii="Arial" w:hAnsi="Arial" w:cs="Arial"/>
          <w:sz w:val="24"/>
          <w:szCs w:val="24"/>
        </w:rPr>
        <w:t>Continue training to strengthen consistenc</w:t>
      </w:r>
      <w:r w:rsidR="0097323C">
        <w:rPr>
          <w:rFonts w:ascii="Arial" w:hAnsi="Arial" w:cs="Arial"/>
          <w:sz w:val="24"/>
          <w:szCs w:val="24"/>
        </w:rPr>
        <w:t>y</w:t>
      </w:r>
      <w:r w:rsidRPr="00D40CF6">
        <w:rPr>
          <w:rFonts w:ascii="Arial" w:hAnsi="Arial" w:cs="Arial"/>
          <w:sz w:val="24"/>
          <w:szCs w:val="24"/>
        </w:rPr>
        <w:t xml:space="preserve"> of information across staff.</w:t>
      </w:r>
    </w:p>
    <w:p w14:paraId="0177F780" w14:textId="77777777" w:rsidR="00645B0C" w:rsidRDefault="00A77018" w:rsidP="00C44D15">
      <w:pPr>
        <w:pStyle w:val="ColorfulList-Accent11"/>
        <w:numPr>
          <w:ilvl w:val="0"/>
          <w:numId w:val="8"/>
        </w:numPr>
        <w:spacing w:after="0" w:line="360" w:lineRule="auto"/>
        <w:ind w:left="360"/>
        <w:rPr>
          <w:rFonts w:ascii="Arial" w:eastAsia="Times New Roman" w:hAnsi="Arial" w:cs="Arial"/>
          <w:color w:val="000000"/>
          <w:sz w:val="24"/>
          <w:szCs w:val="24"/>
        </w:rPr>
      </w:pPr>
      <w:r>
        <w:rPr>
          <w:rFonts w:ascii="Arial" w:eastAsia="Times New Roman" w:hAnsi="Arial" w:cs="Arial"/>
          <w:color w:val="000000"/>
          <w:sz w:val="24"/>
          <w:szCs w:val="24"/>
        </w:rPr>
        <w:t>Begin adding more Spanish speaking staff and written materials for all services</w:t>
      </w:r>
      <w:r w:rsidR="00645B0C">
        <w:rPr>
          <w:rFonts w:ascii="Arial" w:eastAsia="Times New Roman" w:hAnsi="Arial" w:cs="Arial"/>
          <w:color w:val="000000"/>
          <w:sz w:val="24"/>
          <w:szCs w:val="24"/>
        </w:rPr>
        <w:t>.</w:t>
      </w:r>
    </w:p>
    <w:p w14:paraId="725E8DC3" w14:textId="77777777" w:rsidR="0010192F" w:rsidRDefault="00A77018" w:rsidP="0010192F">
      <w:pPr>
        <w:pStyle w:val="ColorfulList-Accent11"/>
        <w:numPr>
          <w:ilvl w:val="0"/>
          <w:numId w:val="8"/>
        </w:numPr>
        <w:spacing w:after="0" w:line="360" w:lineRule="auto"/>
        <w:ind w:left="360"/>
        <w:rPr>
          <w:rFonts w:ascii="Arial" w:hAnsi="Arial" w:cs="Arial"/>
          <w:sz w:val="24"/>
          <w:szCs w:val="24"/>
        </w:rPr>
      </w:pPr>
      <w:r>
        <w:rPr>
          <w:rFonts w:ascii="Arial" w:eastAsia="Times New Roman" w:hAnsi="Arial" w:cs="Arial"/>
          <w:color w:val="000000"/>
          <w:sz w:val="24"/>
          <w:szCs w:val="24"/>
        </w:rPr>
        <w:t>Improve the availability of psychiatric services and increase the frequency of appointments for their clients.</w:t>
      </w:r>
      <w:r w:rsidR="0010192F" w:rsidRPr="0010192F">
        <w:rPr>
          <w:rFonts w:ascii="Arial" w:hAnsi="Arial" w:cs="Arial"/>
          <w:sz w:val="24"/>
          <w:szCs w:val="24"/>
        </w:rPr>
        <w:t xml:space="preserve"> </w:t>
      </w:r>
    </w:p>
    <w:p w14:paraId="30716EBF" w14:textId="77777777" w:rsidR="0010192F" w:rsidRPr="0010192F" w:rsidRDefault="0010192F" w:rsidP="0010192F">
      <w:pPr>
        <w:pStyle w:val="ColorfulList-Accent11"/>
        <w:spacing w:after="0" w:line="360" w:lineRule="auto"/>
        <w:ind w:left="360"/>
        <w:rPr>
          <w:rFonts w:ascii="Arial" w:hAnsi="Arial" w:cs="Arial"/>
          <w:sz w:val="24"/>
          <w:szCs w:val="24"/>
        </w:rPr>
      </w:pPr>
    </w:p>
    <w:p w14:paraId="0AB272FA" w14:textId="77777777" w:rsidR="0010192F" w:rsidRPr="0010192F" w:rsidRDefault="0010192F" w:rsidP="0010192F">
      <w:pPr>
        <w:pStyle w:val="ColorfulList-Accent11"/>
        <w:spacing w:after="0" w:line="360" w:lineRule="auto"/>
        <w:ind w:left="0"/>
        <w:rPr>
          <w:rFonts w:ascii="Arial" w:hAnsi="Arial" w:cs="Arial"/>
          <w:b/>
          <w:sz w:val="24"/>
          <w:szCs w:val="24"/>
          <w:u w:val="single"/>
        </w:rPr>
      </w:pPr>
      <w:r>
        <w:rPr>
          <w:rFonts w:ascii="Arial" w:hAnsi="Arial" w:cs="Arial"/>
          <w:b/>
          <w:sz w:val="24"/>
          <w:szCs w:val="24"/>
          <w:u w:val="single"/>
        </w:rPr>
        <w:t>Recommendations for Future Stakeholder Satisfaction Survey:</w:t>
      </w:r>
    </w:p>
    <w:p w14:paraId="7AF18F46" w14:textId="77777777" w:rsidR="0010192F" w:rsidRPr="0010192F" w:rsidRDefault="0010192F" w:rsidP="0010192F">
      <w:pPr>
        <w:pStyle w:val="ColorfulList-Accent11"/>
        <w:numPr>
          <w:ilvl w:val="0"/>
          <w:numId w:val="8"/>
        </w:numPr>
        <w:spacing w:after="0" w:line="360" w:lineRule="auto"/>
        <w:ind w:left="360"/>
        <w:rPr>
          <w:rFonts w:ascii="Arial" w:hAnsi="Arial" w:cs="Arial"/>
          <w:sz w:val="24"/>
          <w:szCs w:val="24"/>
        </w:rPr>
      </w:pPr>
      <w:r>
        <w:rPr>
          <w:rFonts w:ascii="Arial" w:hAnsi="Arial" w:cs="Arial"/>
          <w:sz w:val="24"/>
          <w:szCs w:val="24"/>
        </w:rPr>
        <w:t>Complete redevelopment of the survey methods utilizing the latest developments in survey research, as well as a</w:t>
      </w:r>
      <w:r w:rsidRPr="0010192F">
        <w:rPr>
          <w:rFonts w:ascii="Arial" w:hAnsi="Arial" w:cs="Arial"/>
          <w:sz w:val="24"/>
          <w:szCs w:val="24"/>
        </w:rPr>
        <w:t>lternative distribution of survey (time of year, alternating years)</w:t>
      </w:r>
    </w:p>
    <w:p w14:paraId="201261F3" w14:textId="77777777" w:rsidR="007C1E68" w:rsidRPr="00AB473D" w:rsidRDefault="0010192F" w:rsidP="0010192F">
      <w:pPr>
        <w:pStyle w:val="ColorfulList-Accent11"/>
        <w:numPr>
          <w:ilvl w:val="0"/>
          <w:numId w:val="8"/>
        </w:numPr>
        <w:spacing w:after="0" w:line="360" w:lineRule="auto"/>
        <w:ind w:left="360"/>
        <w:rPr>
          <w:rFonts w:ascii="Arial" w:eastAsia="Times New Roman" w:hAnsi="Arial" w:cs="Arial"/>
          <w:color w:val="000000"/>
          <w:sz w:val="24"/>
          <w:szCs w:val="24"/>
        </w:rPr>
      </w:pPr>
      <w:r w:rsidRPr="00D40CF6">
        <w:rPr>
          <w:rFonts w:ascii="Arial" w:hAnsi="Arial" w:cs="Arial"/>
          <w:sz w:val="24"/>
          <w:szCs w:val="24"/>
        </w:rPr>
        <w:t>Follow up with participants with phone calls to encourage a greater response.</w:t>
      </w:r>
    </w:p>
    <w:p w14:paraId="7C4461F1" w14:textId="77777777" w:rsidR="00AB473D" w:rsidRPr="0010192F" w:rsidRDefault="00AB473D" w:rsidP="0010192F">
      <w:pPr>
        <w:pStyle w:val="ColorfulList-Accent11"/>
        <w:numPr>
          <w:ilvl w:val="0"/>
          <w:numId w:val="8"/>
        </w:numPr>
        <w:spacing w:after="0" w:line="360" w:lineRule="auto"/>
        <w:ind w:left="360"/>
        <w:rPr>
          <w:rFonts w:ascii="Arial" w:eastAsia="Times New Roman" w:hAnsi="Arial" w:cs="Arial"/>
          <w:color w:val="000000"/>
          <w:sz w:val="24"/>
          <w:szCs w:val="24"/>
        </w:rPr>
      </w:pPr>
      <w:r w:rsidRPr="00B21889">
        <w:rPr>
          <w:rFonts w:ascii="Arial" w:hAnsi="Arial" w:cs="Arial"/>
          <w:sz w:val="24"/>
          <w:szCs w:val="24"/>
        </w:rPr>
        <w:t xml:space="preserve">Ensure that all survey materials are properly printed and complete. </w:t>
      </w:r>
    </w:p>
    <w:sectPr w:rsidR="00AB473D" w:rsidRPr="0010192F" w:rsidSect="00FD66D1">
      <w:footerReference w:type="default" r:id="rId8"/>
      <w:footnotePr>
        <w:numFmt w:val="chicago"/>
      </w:footnotePr>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1BAC7" w14:textId="77777777" w:rsidR="00C242B6" w:rsidRDefault="00C242B6" w:rsidP="007C1E68">
      <w:pPr>
        <w:spacing w:after="0" w:line="240" w:lineRule="auto"/>
      </w:pPr>
      <w:r>
        <w:separator/>
      </w:r>
    </w:p>
  </w:endnote>
  <w:endnote w:type="continuationSeparator" w:id="0">
    <w:p w14:paraId="29DEB135" w14:textId="77777777" w:rsidR="00C242B6" w:rsidRDefault="00C242B6" w:rsidP="007C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B3985" w14:textId="77777777" w:rsidR="000503B3" w:rsidRPr="00D72FFA" w:rsidRDefault="000503B3">
    <w:pPr>
      <w:pStyle w:val="Footer"/>
      <w:jc w:val="right"/>
      <w:rPr>
        <w:rFonts w:ascii="Arial" w:hAnsi="Arial" w:cs="Arial"/>
        <w:sz w:val="24"/>
        <w:szCs w:val="24"/>
      </w:rPr>
    </w:pPr>
    <w:r w:rsidRPr="00D72FFA">
      <w:rPr>
        <w:rFonts w:ascii="Arial" w:hAnsi="Arial" w:cs="Arial"/>
        <w:sz w:val="24"/>
        <w:szCs w:val="24"/>
      </w:rPr>
      <w:fldChar w:fldCharType="begin"/>
    </w:r>
    <w:r w:rsidRPr="00D72FFA">
      <w:rPr>
        <w:rFonts w:ascii="Arial" w:hAnsi="Arial" w:cs="Arial"/>
        <w:sz w:val="24"/>
        <w:szCs w:val="24"/>
      </w:rPr>
      <w:instrText xml:space="preserve"> PAGE   \* MERGEFORMAT </w:instrText>
    </w:r>
    <w:r w:rsidRPr="00D72FFA">
      <w:rPr>
        <w:rFonts w:ascii="Arial" w:hAnsi="Arial" w:cs="Arial"/>
        <w:sz w:val="24"/>
        <w:szCs w:val="24"/>
      </w:rPr>
      <w:fldChar w:fldCharType="separate"/>
    </w:r>
    <w:r w:rsidR="00A8347A">
      <w:rPr>
        <w:rFonts w:ascii="Arial" w:hAnsi="Arial" w:cs="Arial"/>
        <w:noProof/>
        <w:sz w:val="24"/>
        <w:szCs w:val="24"/>
      </w:rPr>
      <w:t>3</w:t>
    </w:r>
    <w:r w:rsidRPr="00D72FFA">
      <w:rPr>
        <w:rFonts w:ascii="Arial" w:hAnsi="Arial" w:cs="Arial"/>
        <w:noProof/>
        <w:sz w:val="24"/>
        <w:szCs w:val="24"/>
      </w:rPr>
      <w:fldChar w:fldCharType="end"/>
    </w:r>
  </w:p>
  <w:p w14:paraId="711A8E29" w14:textId="77777777" w:rsidR="000503B3" w:rsidRDefault="00050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E715" w14:textId="77777777" w:rsidR="00C242B6" w:rsidRDefault="00C242B6" w:rsidP="007C1E68">
      <w:pPr>
        <w:spacing w:after="0" w:line="240" w:lineRule="auto"/>
      </w:pPr>
      <w:r>
        <w:separator/>
      </w:r>
    </w:p>
  </w:footnote>
  <w:footnote w:type="continuationSeparator" w:id="0">
    <w:p w14:paraId="2729CBFF" w14:textId="77777777" w:rsidR="00C242B6" w:rsidRDefault="00C242B6" w:rsidP="007C1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97C90"/>
    <w:multiLevelType w:val="hybridMultilevel"/>
    <w:tmpl w:val="01022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3431FF"/>
    <w:multiLevelType w:val="hybridMultilevel"/>
    <w:tmpl w:val="9534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F4EB9"/>
    <w:multiLevelType w:val="hybridMultilevel"/>
    <w:tmpl w:val="DF2E99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D12A0A"/>
    <w:multiLevelType w:val="hybridMultilevel"/>
    <w:tmpl w:val="E5DE0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5B577E"/>
    <w:multiLevelType w:val="hybridMultilevel"/>
    <w:tmpl w:val="84CE5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Arial"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Arial" w:hint="default"/>
      </w:rPr>
    </w:lvl>
    <w:lvl w:ilvl="8" w:tplc="04090005" w:tentative="1">
      <w:start w:val="1"/>
      <w:numFmt w:val="bullet"/>
      <w:lvlText w:val=""/>
      <w:lvlJc w:val="left"/>
      <w:pPr>
        <w:ind w:left="4680" w:hanging="360"/>
      </w:pPr>
      <w:rPr>
        <w:rFonts w:ascii="Wingdings" w:hAnsi="Wingdings" w:hint="default"/>
      </w:rPr>
    </w:lvl>
  </w:abstractNum>
  <w:abstractNum w:abstractNumId="5" w15:restartNumberingAfterBreak="0">
    <w:nsid w:val="54A05761"/>
    <w:multiLevelType w:val="hybridMultilevel"/>
    <w:tmpl w:val="CD1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6AB3"/>
    <w:multiLevelType w:val="hybridMultilevel"/>
    <w:tmpl w:val="55E8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39F6C8D"/>
    <w:multiLevelType w:val="hybridMultilevel"/>
    <w:tmpl w:val="9534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4"/>
  </w:num>
  <w:num w:numId="5">
    <w:abstractNumId w:val="0"/>
  </w:num>
  <w:num w:numId="6">
    <w:abstractNumId w:val="2"/>
  </w:num>
  <w:num w:numId="7">
    <w:abstractNumId w:val="5"/>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74"/>
    <w:rsid w:val="00012480"/>
    <w:rsid w:val="000503B3"/>
    <w:rsid w:val="00057638"/>
    <w:rsid w:val="00070D74"/>
    <w:rsid w:val="000825F1"/>
    <w:rsid w:val="00082996"/>
    <w:rsid w:val="00084621"/>
    <w:rsid w:val="000B71BA"/>
    <w:rsid w:val="000E705E"/>
    <w:rsid w:val="00100E5A"/>
    <w:rsid w:val="00101856"/>
    <w:rsid w:val="0010192F"/>
    <w:rsid w:val="00106B73"/>
    <w:rsid w:val="0011798C"/>
    <w:rsid w:val="00131E50"/>
    <w:rsid w:val="00132F24"/>
    <w:rsid w:val="001608D4"/>
    <w:rsid w:val="00175DB2"/>
    <w:rsid w:val="0018045E"/>
    <w:rsid w:val="00186C55"/>
    <w:rsid w:val="00187E7B"/>
    <w:rsid w:val="00197F27"/>
    <w:rsid w:val="001D7F50"/>
    <w:rsid w:val="001F1824"/>
    <w:rsid w:val="0021057D"/>
    <w:rsid w:val="00231FE4"/>
    <w:rsid w:val="00252243"/>
    <w:rsid w:val="002A4519"/>
    <w:rsid w:val="002C02A0"/>
    <w:rsid w:val="002C3C14"/>
    <w:rsid w:val="002F5861"/>
    <w:rsid w:val="002F6B1A"/>
    <w:rsid w:val="00303C98"/>
    <w:rsid w:val="003115BE"/>
    <w:rsid w:val="00331171"/>
    <w:rsid w:val="0034042D"/>
    <w:rsid w:val="00343388"/>
    <w:rsid w:val="0036428A"/>
    <w:rsid w:val="00367B0F"/>
    <w:rsid w:val="0039374A"/>
    <w:rsid w:val="003B4D15"/>
    <w:rsid w:val="003C3B37"/>
    <w:rsid w:val="004128B6"/>
    <w:rsid w:val="0043129E"/>
    <w:rsid w:val="004420F2"/>
    <w:rsid w:val="004512D0"/>
    <w:rsid w:val="0046081A"/>
    <w:rsid w:val="00462925"/>
    <w:rsid w:val="00466C99"/>
    <w:rsid w:val="004673CE"/>
    <w:rsid w:val="0048317F"/>
    <w:rsid w:val="004A2A00"/>
    <w:rsid w:val="004A4838"/>
    <w:rsid w:val="004C3138"/>
    <w:rsid w:val="004C76FF"/>
    <w:rsid w:val="004D17A4"/>
    <w:rsid w:val="004E525A"/>
    <w:rsid w:val="005008B6"/>
    <w:rsid w:val="00514627"/>
    <w:rsid w:val="00523BF8"/>
    <w:rsid w:val="00543421"/>
    <w:rsid w:val="00553FBA"/>
    <w:rsid w:val="005634AE"/>
    <w:rsid w:val="005C2ED8"/>
    <w:rsid w:val="005E173D"/>
    <w:rsid w:val="005E23E4"/>
    <w:rsid w:val="005F02B4"/>
    <w:rsid w:val="005F4C61"/>
    <w:rsid w:val="005F5081"/>
    <w:rsid w:val="0060622C"/>
    <w:rsid w:val="0060633F"/>
    <w:rsid w:val="006067B5"/>
    <w:rsid w:val="00610921"/>
    <w:rsid w:val="00613ED7"/>
    <w:rsid w:val="00645B0C"/>
    <w:rsid w:val="006601AE"/>
    <w:rsid w:val="006644A1"/>
    <w:rsid w:val="006807AB"/>
    <w:rsid w:val="006D353F"/>
    <w:rsid w:val="006E44A2"/>
    <w:rsid w:val="0071418A"/>
    <w:rsid w:val="00714930"/>
    <w:rsid w:val="0072119A"/>
    <w:rsid w:val="0072500D"/>
    <w:rsid w:val="0072750F"/>
    <w:rsid w:val="00741FFD"/>
    <w:rsid w:val="00757958"/>
    <w:rsid w:val="007A3F83"/>
    <w:rsid w:val="007C1E68"/>
    <w:rsid w:val="007C68D9"/>
    <w:rsid w:val="007D1DAB"/>
    <w:rsid w:val="007E2E76"/>
    <w:rsid w:val="007F64CB"/>
    <w:rsid w:val="0081225B"/>
    <w:rsid w:val="00822988"/>
    <w:rsid w:val="00833DA6"/>
    <w:rsid w:val="008570AA"/>
    <w:rsid w:val="00860C62"/>
    <w:rsid w:val="00864299"/>
    <w:rsid w:val="00870103"/>
    <w:rsid w:val="00884552"/>
    <w:rsid w:val="008B3BB8"/>
    <w:rsid w:val="008E64B9"/>
    <w:rsid w:val="008E6B74"/>
    <w:rsid w:val="008F7EE1"/>
    <w:rsid w:val="009015C4"/>
    <w:rsid w:val="00915D06"/>
    <w:rsid w:val="00925677"/>
    <w:rsid w:val="00927AFE"/>
    <w:rsid w:val="00945051"/>
    <w:rsid w:val="00955D79"/>
    <w:rsid w:val="00962850"/>
    <w:rsid w:val="00971360"/>
    <w:rsid w:val="0097323C"/>
    <w:rsid w:val="0097577A"/>
    <w:rsid w:val="0098493B"/>
    <w:rsid w:val="009A681B"/>
    <w:rsid w:val="009C148C"/>
    <w:rsid w:val="009C58B3"/>
    <w:rsid w:val="009C5EC1"/>
    <w:rsid w:val="009D4919"/>
    <w:rsid w:val="009E1296"/>
    <w:rsid w:val="00A06A7C"/>
    <w:rsid w:val="00A43A9C"/>
    <w:rsid w:val="00A43C15"/>
    <w:rsid w:val="00A5673A"/>
    <w:rsid w:val="00A73299"/>
    <w:rsid w:val="00A77018"/>
    <w:rsid w:val="00A8347A"/>
    <w:rsid w:val="00A8579B"/>
    <w:rsid w:val="00A86F0D"/>
    <w:rsid w:val="00A96D9B"/>
    <w:rsid w:val="00AA6595"/>
    <w:rsid w:val="00AB473D"/>
    <w:rsid w:val="00AB68D2"/>
    <w:rsid w:val="00B02066"/>
    <w:rsid w:val="00B05CE7"/>
    <w:rsid w:val="00B10B8F"/>
    <w:rsid w:val="00B16E01"/>
    <w:rsid w:val="00B20436"/>
    <w:rsid w:val="00B21889"/>
    <w:rsid w:val="00B3026C"/>
    <w:rsid w:val="00B365E6"/>
    <w:rsid w:val="00B617B8"/>
    <w:rsid w:val="00B65BCE"/>
    <w:rsid w:val="00B74B81"/>
    <w:rsid w:val="00BC0E19"/>
    <w:rsid w:val="00BC1F50"/>
    <w:rsid w:val="00BC4DE4"/>
    <w:rsid w:val="00BF0EA6"/>
    <w:rsid w:val="00BF13EC"/>
    <w:rsid w:val="00BF35C8"/>
    <w:rsid w:val="00C01138"/>
    <w:rsid w:val="00C0542C"/>
    <w:rsid w:val="00C2061D"/>
    <w:rsid w:val="00C242B6"/>
    <w:rsid w:val="00C267A9"/>
    <w:rsid w:val="00C36E3A"/>
    <w:rsid w:val="00C44D15"/>
    <w:rsid w:val="00C67FF2"/>
    <w:rsid w:val="00C747BF"/>
    <w:rsid w:val="00C80775"/>
    <w:rsid w:val="00C856C3"/>
    <w:rsid w:val="00CA06B3"/>
    <w:rsid w:val="00CA6842"/>
    <w:rsid w:val="00CB2AD5"/>
    <w:rsid w:val="00CC3596"/>
    <w:rsid w:val="00CE590A"/>
    <w:rsid w:val="00CF289F"/>
    <w:rsid w:val="00D20592"/>
    <w:rsid w:val="00D3576F"/>
    <w:rsid w:val="00D40CF6"/>
    <w:rsid w:val="00D45844"/>
    <w:rsid w:val="00D52A3F"/>
    <w:rsid w:val="00D56C31"/>
    <w:rsid w:val="00D56CD2"/>
    <w:rsid w:val="00D632C1"/>
    <w:rsid w:val="00D72018"/>
    <w:rsid w:val="00D72FFA"/>
    <w:rsid w:val="00D82600"/>
    <w:rsid w:val="00D82E8E"/>
    <w:rsid w:val="00D92C4F"/>
    <w:rsid w:val="00DC3011"/>
    <w:rsid w:val="00DE046C"/>
    <w:rsid w:val="00DE0B5E"/>
    <w:rsid w:val="00DE692B"/>
    <w:rsid w:val="00E046C6"/>
    <w:rsid w:val="00E228DC"/>
    <w:rsid w:val="00E33065"/>
    <w:rsid w:val="00E3607F"/>
    <w:rsid w:val="00E555D6"/>
    <w:rsid w:val="00E70089"/>
    <w:rsid w:val="00E80B19"/>
    <w:rsid w:val="00E94F6D"/>
    <w:rsid w:val="00E965AC"/>
    <w:rsid w:val="00EC0659"/>
    <w:rsid w:val="00F03DDD"/>
    <w:rsid w:val="00F600A3"/>
    <w:rsid w:val="00F662D2"/>
    <w:rsid w:val="00F933A2"/>
    <w:rsid w:val="00FA619E"/>
    <w:rsid w:val="00FB22FB"/>
    <w:rsid w:val="00FB5C3D"/>
    <w:rsid w:val="00FD18A0"/>
    <w:rsid w:val="00FD2A48"/>
    <w:rsid w:val="00FD6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92FB0"/>
  <w15:docId w15:val="{2436DA8B-8BB3-475F-B934-7B987BDC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92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180585"/>
    <w:pPr>
      <w:ind w:left="720"/>
      <w:contextualSpacing/>
    </w:pPr>
  </w:style>
  <w:style w:type="paragraph" w:styleId="Header">
    <w:name w:val="header"/>
    <w:basedOn w:val="Normal"/>
    <w:link w:val="HeaderChar"/>
    <w:uiPriority w:val="99"/>
    <w:unhideWhenUsed/>
    <w:rsid w:val="00E3398D"/>
    <w:pPr>
      <w:tabs>
        <w:tab w:val="center" w:pos="4680"/>
        <w:tab w:val="right" w:pos="9360"/>
      </w:tabs>
    </w:pPr>
  </w:style>
  <w:style w:type="character" w:customStyle="1" w:styleId="HeaderChar">
    <w:name w:val="Header Char"/>
    <w:basedOn w:val="DefaultParagraphFont"/>
    <w:link w:val="Header"/>
    <w:uiPriority w:val="99"/>
    <w:rsid w:val="00E3398D"/>
    <w:rPr>
      <w:sz w:val="22"/>
      <w:szCs w:val="22"/>
    </w:rPr>
  </w:style>
  <w:style w:type="paragraph" w:styleId="Footer">
    <w:name w:val="footer"/>
    <w:basedOn w:val="Normal"/>
    <w:link w:val="FooterChar"/>
    <w:uiPriority w:val="99"/>
    <w:unhideWhenUsed/>
    <w:rsid w:val="00E3398D"/>
    <w:pPr>
      <w:tabs>
        <w:tab w:val="center" w:pos="4680"/>
        <w:tab w:val="right" w:pos="9360"/>
      </w:tabs>
    </w:pPr>
  </w:style>
  <w:style w:type="character" w:customStyle="1" w:styleId="FooterChar">
    <w:name w:val="Footer Char"/>
    <w:basedOn w:val="DefaultParagraphFont"/>
    <w:link w:val="Footer"/>
    <w:uiPriority w:val="99"/>
    <w:rsid w:val="00E3398D"/>
    <w:rPr>
      <w:sz w:val="22"/>
      <w:szCs w:val="22"/>
    </w:rPr>
  </w:style>
  <w:style w:type="character" w:styleId="CommentReference">
    <w:name w:val="annotation reference"/>
    <w:basedOn w:val="DefaultParagraphFont"/>
    <w:uiPriority w:val="99"/>
    <w:semiHidden/>
    <w:unhideWhenUsed/>
    <w:rsid w:val="00585A65"/>
    <w:rPr>
      <w:sz w:val="16"/>
      <w:szCs w:val="16"/>
    </w:rPr>
  </w:style>
  <w:style w:type="paragraph" w:styleId="CommentText">
    <w:name w:val="annotation text"/>
    <w:basedOn w:val="Normal"/>
    <w:link w:val="CommentTextChar"/>
    <w:uiPriority w:val="99"/>
    <w:semiHidden/>
    <w:unhideWhenUsed/>
    <w:rsid w:val="00585A65"/>
    <w:rPr>
      <w:sz w:val="20"/>
      <w:szCs w:val="20"/>
    </w:rPr>
  </w:style>
  <w:style w:type="character" w:customStyle="1" w:styleId="CommentTextChar">
    <w:name w:val="Comment Text Char"/>
    <w:basedOn w:val="DefaultParagraphFont"/>
    <w:link w:val="CommentText"/>
    <w:uiPriority w:val="99"/>
    <w:semiHidden/>
    <w:rsid w:val="00585A65"/>
  </w:style>
  <w:style w:type="paragraph" w:styleId="CommentSubject">
    <w:name w:val="annotation subject"/>
    <w:basedOn w:val="CommentText"/>
    <w:next w:val="CommentText"/>
    <w:link w:val="CommentSubjectChar"/>
    <w:uiPriority w:val="99"/>
    <w:semiHidden/>
    <w:unhideWhenUsed/>
    <w:rsid w:val="00585A65"/>
    <w:rPr>
      <w:b/>
      <w:bCs/>
    </w:rPr>
  </w:style>
  <w:style w:type="character" w:customStyle="1" w:styleId="CommentSubjectChar">
    <w:name w:val="Comment Subject Char"/>
    <w:basedOn w:val="CommentTextChar"/>
    <w:link w:val="CommentSubject"/>
    <w:uiPriority w:val="99"/>
    <w:semiHidden/>
    <w:rsid w:val="00585A65"/>
    <w:rPr>
      <w:b/>
      <w:bCs/>
    </w:rPr>
  </w:style>
  <w:style w:type="paragraph" w:styleId="BalloonText">
    <w:name w:val="Balloon Text"/>
    <w:basedOn w:val="Normal"/>
    <w:link w:val="BalloonTextChar"/>
    <w:uiPriority w:val="99"/>
    <w:semiHidden/>
    <w:unhideWhenUsed/>
    <w:rsid w:val="00585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65"/>
    <w:rPr>
      <w:rFonts w:ascii="Tahoma" w:hAnsi="Tahoma" w:cs="Tahoma"/>
      <w:sz w:val="16"/>
      <w:szCs w:val="16"/>
    </w:rPr>
  </w:style>
  <w:style w:type="paragraph" w:styleId="Title">
    <w:name w:val="Title"/>
    <w:basedOn w:val="Normal"/>
    <w:next w:val="Normal"/>
    <w:link w:val="TitleChar"/>
    <w:uiPriority w:val="10"/>
    <w:qFormat/>
    <w:rsid w:val="001608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08D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608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617B8"/>
    <w:rPr>
      <w:sz w:val="22"/>
      <w:szCs w:val="22"/>
    </w:rPr>
  </w:style>
  <w:style w:type="paragraph" w:styleId="FootnoteText">
    <w:name w:val="footnote text"/>
    <w:basedOn w:val="Normal"/>
    <w:link w:val="FootnoteTextChar"/>
    <w:uiPriority w:val="99"/>
    <w:semiHidden/>
    <w:unhideWhenUsed/>
    <w:rsid w:val="00DE0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46C"/>
  </w:style>
  <w:style w:type="character" w:styleId="FootnoteReference">
    <w:name w:val="footnote reference"/>
    <w:basedOn w:val="DefaultParagraphFont"/>
    <w:uiPriority w:val="99"/>
    <w:unhideWhenUsed/>
    <w:rsid w:val="00DE04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244">
      <w:bodyDiv w:val="1"/>
      <w:marLeft w:val="0"/>
      <w:marRight w:val="0"/>
      <w:marTop w:val="0"/>
      <w:marBottom w:val="0"/>
      <w:divBdr>
        <w:top w:val="none" w:sz="0" w:space="0" w:color="auto"/>
        <w:left w:val="none" w:sz="0" w:space="0" w:color="auto"/>
        <w:bottom w:val="none" w:sz="0" w:space="0" w:color="auto"/>
        <w:right w:val="none" w:sz="0" w:space="0" w:color="auto"/>
      </w:divBdr>
    </w:div>
    <w:div w:id="41489626">
      <w:bodyDiv w:val="1"/>
      <w:marLeft w:val="0"/>
      <w:marRight w:val="0"/>
      <w:marTop w:val="0"/>
      <w:marBottom w:val="0"/>
      <w:divBdr>
        <w:top w:val="none" w:sz="0" w:space="0" w:color="auto"/>
        <w:left w:val="none" w:sz="0" w:space="0" w:color="auto"/>
        <w:bottom w:val="none" w:sz="0" w:space="0" w:color="auto"/>
        <w:right w:val="none" w:sz="0" w:space="0" w:color="auto"/>
      </w:divBdr>
    </w:div>
    <w:div w:id="48001164">
      <w:bodyDiv w:val="1"/>
      <w:marLeft w:val="0"/>
      <w:marRight w:val="0"/>
      <w:marTop w:val="0"/>
      <w:marBottom w:val="0"/>
      <w:divBdr>
        <w:top w:val="none" w:sz="0" w:space="0" w:color="auto"/>
        <w:left w:val="none" w:sz="0" w:space="0" w:color="auto"/>
        <w:bottom w:val="none" w:sz="0" w:space="0" w:color="auto"/>
        <w:right w:val="none" w:sz="0" w:space="0" w:color="auto"/>
      </w:divBdr>
    </w:div>
    <w:div w:id="1366978761">
      <w:bodyDiv w:val="1"/>
      <w:marLeft w:val="0"/>
      <w:marRight w:val="0"/>
      <w:marTop w:val="0"/>
      <w:marBottom w:val="0"/>
      <w:divBdr>
        <w:top w:val="none" w:sz="0" w:space="0" w:color="auto"/>
        <w:left w:val="none" w:sz="0" w:space="0" w:color="auto"/>
        <w:bottom w:val="none" w:sz="0" w:space="0" w:color="auto"/>
        <w:right w:val="none" w:sz="0" w:space="0" w:color="auto"/>
      </w:divBdr>
    </w:div>
    <w:div w:id="1465851534">
      <w:bodyDiv w:val="1"/>
      <w:marLeft w:val="0"/>
      <w:marRight w:val="0"/>
      <w:marTop w:val="0"/>
      <w:marBottom w:val="0"/>
      <w:divBdr>
        <w:top w:val="none" w:sz="0" w:space="0" w:color="auto"/>
        <w:left w:val="none" w:sz="0" w:space="0" w:color="auto"/>
        <w:bottom w:val="none" w:sz="0" w:space="0" w:color="auto"/>
        <w:right w:val="none" w:sz="0" w:space="0" w:color="auto"/>
      </w:divBdr>
    </w:div>
    <w:div w:id="1893226258">
      <w:bodyDiv w:val="1"/>
      <w:marLeft w:val="0"/>
      <w:marRight w:val="0"/>
      <w:marTop w:val="0"/>
      <w:marBottom w:val="0"/>
      <w:divBdr>
        <w:top w:val="none" w:sz="0" w:space="0" w:color="auto"/>
        <w:left w:val="none" w:sz="0" w:space="0" w:color="auto"/>
        <w:bottom w:val="none" w:sz="0" w:space="0" w:color="auto"/>
        <w:right w:val="none" w:sz="0" w:space="0" w:color="auto"/>
      </w:divBdr>
    </w:div>
    <w:div w:id="2042126222">
      <w:bodyDiv w:val="1"/>
      <w:marLeft w:val="0"/>
      <w:marRight w:val="0"/>
      <w:marTop w:val="0"/>
      <w:marBottom w:val="0"/>
      <w:divBdr>
        <w:top w:val="none" w:sz="0" w:space="0" w:color="auto"/>
        <w:left w:val="none" w:sz="0" w:space="0" w:color="auto"/>
        <w:bottom w:val="none" w:sz="0" w:space="0" w:color="auto"/>
        <w:right w:val="none" w:sz="0" w:space="0" w:color="auto"/>
      </w:divBdr>
    </w:div>
    <w:div w:id="21206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A12AF-3F86-4EFB-888D-080F4746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Region Ten Stakeholder Survey: 2008-2010</vt:lpstr>
    </vt:vector>
  </TitlesOfParts>
  <Company>Microsoft</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Ten Stakeholder Survey: 2008-2010</dc:title>
  <dc:subject>Danielle Williams, University of Virginia, MPH Student</dc:subject>
  <dc:creator>dwilliams</dc:creator>
  <cp:lastModifiedBy>Martha Maltais</cp:lastModifiedBy>
  <cp:revision>2</cp:revision>
  <cp:lastPrinted>2016-05-11T16:13:00Z</cp:lastPrinted>
  <dcterms:created xsi:type="dcterms:W3CDTF">2016-10-11T17:25:00Z</dcterms:created>
  <dcterms:modified xsi:type="dcterms:W3CDTF">2016-10-11T17:25:00Z</dcterms:modified>
</cp:coreProperties>
</file>